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2CD0A" w14:textId="36EC148D" w:rsidR="00E95E96" w:rsidRPr="009E39C9" w:rsidRDefault="00A164E2" w:rsidP="00D9789D">
      <w:pPr>
        <w:jc w:val="both"/>
        <w:rPr>
          <w:b/>
          <w:bCs/>
        </w:rPr>
      </w:pPr>
      <w:r w:rsidRPr="009E39C9">
        <w:rPr>
          <w:b/>
          <w:bCs/>
        </w:rPr>
        <w:t>Network North Highway Maintenance Funding Plan</w:t>
      </w:r>
      <w:r w:rsidR="00E95E96" w:rsidRPr="009E39C9">
        <w:rPr>
          <w:b/>
          <w:bCs/>
        </w:rPr>
        <w:t xml:space="preserve"> 2023/24 and 2024/25.  </w:t>
      </w:r>
    </w:p>
    <w:p w14:paraId="58FB43EF" w14:textId="0E1EA360" w:rsidR="00A164E2" w:rsidRPr="009E39C9" w:rsidRDefault="00A164E2" w:rsidP="00D9789D">
      <w:pPr>
        <w:jc w:val="both"/>
        <w:rPr>
          <w:b/>
          <w:bCs/>
        </w:rPr>
      </w:pPr>
      <w:r w:rsidRPr="009E39C9">
        <w:rPr>
          <w:b/>
          <w:bCs/>
        </w:rPr>
        <w:t>Made possible by reallocated HS</w:t>
      </w:r>
      <w:r w:rsidR="00E95E96" w:rsidRPr="009E39C9">
        <w:rPr>
          <w:b/>
          <w:bCs/>
        </w:rPr>
        <w:t>2 Funding</w:t>
      </w:r>
    </w:p>
    <w:p w14:paraId="50CB5881" w14:textId="60DC1EAF" w:rsidR="006F0ACA" w:rsidRDefault="006F0ACA" w:rsidP="00D9789D">
      <w:pPr>
        <w:jc w:val="both"/>
        <w:rPr>
          <w:b/>
          <w:bCs/>
        </w:rPr>
      </w:pPr>
      <w:r w:rsidRPr="008E2485">
        <w:rPr>
          <w:b/>
          <w:bCs/>
        </w:rPr>
        <w:t xml:space="preserve">Amount of funding </w:t>
      </w:r>
      <w:r w:rsidR="00A45CDF" w:rsidRPr="008E2485">
        <w:rPr>
          <w:b/>
          <w:bCs/>
        </w:rPr>
        <w:t>Received.</w:t>
      </w:r>
    </w:p>
    <w:p w14:paraId="2270F31A" w14:textId="150703C7" w:rsidR="00A45CDF" w:rsidRPr="00A45CDF" w:rsidRDefault="00A45CDF" w:rsidP="00A45CDF">
      <w:r>
        <w:t xml:space="preserve">At the March 2023 Budget, City of York Council was awarded an additional £504,000.00 funding for highways maintenance for 2023/24. </w:t>
      </w:r>
    </w:p>
    <w:p w14:paraId="20249702" w14:textId="70ACA883" w:rsidR="002B3989" w:rsidRDefault="002B3989" w:rsidP="00D9789D">
      <w:pPr>
        <w:jc w:val="both"/>
      </w:pPr>
      <w:r>
        <w:t>In November 2023, a further allocation of highway maintenance funding was awarded to City of York Council for 2023/24 and 2024/25.</w:t>
      </w:r>
      <w:r w:rsidR="005D6182">
        <w:t xml:space="preserve"> </w:t>
      </w:r>
      <w:r>
        <w:t>£360,000.00 was awarded for each of the two financial years, a total increase of £720,000.00. This is Network North highway maintenance funding, which has been made possible due to the reallocation of HS2 Funding.</w:t>
      </w:r>
    </w:p>
    <w:p w14:paraId="11792424" w14:textId="104641FE" w:rsidR="00767B87" w:rsidRDefault="00767B87" w:rsidP="00D9789D">
      <w:pPr>
        <w:jc w:val="both"/>
        <w:rPr>
          <w:b/>
          <w:bCs/>
        </w:rPr>
      </w:pPr>
      <w:r w:rsidRPr="008E2485">
        <w:rPr>
          <w:b/>
          <w:bCs/>
        </w:rPr>
        <w:t>How Have we used the funding?</w:t>
      </w:r>
    </w:p>
    <w:p w14:paraId="6FA5FE78" w14:textId="77777777" w:rsidR="00A45CDF" w:rsidRPr="002061B7" w:rsidRDefault="00A45CDF" w:rsidP="00A45CDF">
      <w:pPr>
        <w:rPr>
          <w:b/>
          <w:bCs/>
        </w:rPr>
      </w:pPr>
      <w:r w:rsidRPr="002061B7">
        <w:rPr>
          <w:b/>
          <w:bCs/>
        </w:rPr>
        <w:t>Funding from Budget 23</w:t>
      </w:r>
    </w:p>
    <w:p w14:paraId="4E2032F6" w14:textId="1B1DD238" w:rsidR="00A45CDF" w:rsidRDefault="00A45CDF" w:rsidP="00A45CDF">
      <w:r>
        <w:t>Following the allocation of the budget 23 funding of £504,000.00 we identified a range of</w:t>
      </w:r>
      <w:r w:rsidR="00F2436A">
        <w:t xml:space="preserve"> carriageway</w:t>
      </w:r>
      <w:r>
        <w:t xml:space="preserve"> patching schemes to be delivered.  This can be found in appendix A.</w:t>
      </w:r>
    </w:p>
    <w:p w14:paraId="41AB0BB5" w14:textId="06C5647E" w:rsidR="007B4C11" w:rsidRDefault="00F2436A" w:rsidP="007B4C11">
      <w:r>
        <w:t>The s</w:t>
      </w:r>
      <w:r w:rsidR="00A45CDF">
        <w:t>chemes delivered includ</w:t>
      </w:r>
      <w:r>
        <w:t>e</w:t>
      </w:r>
      <w:r w:rsidR="00A45CDF">
        <w:t xml:space="preserve"> </w:t>
      </w:r>
      <w:r>
        <w:t xml:space="preserve">large patching schemes at </w:t>
      </w:r>
      <w:r w:rsidR="007B4C11">
        <w:t>Dauby Lane</w:t>
      </w:r>
      <w:r w:rsidR="00AB65F4">
        <w:t xml:space="preserve"> </w:t>
      </w:r>
      <w:r w:rsidR="007B4C11">
        <w:t>Elvington, Hazel Bush Lane Strensall and Ox Carr Lane</w:t>
      </w:r>
      <w:r w:rsidR="00AB65F4">
        <w:t xml:space="preserve"> </w:t>
      </w:r>
      <w:r w:rsidR="007B4C11">
        <w:t>Strensall. These schemes were targeted at sites that are suitable for a surface treatment within the 2</w:t>
      </w:r>
      <w:r w:rsidR="00AB65F4">
        <w:t>024</w:t>
      </w:r>
      <w:r w:rsidR="007B4C11">
        <w:t>/25 Capital delivery programme. Carrying out patching to deal with isolated smaller defects ahead of the surface treatment is a cost-effective way of extending the lifespan of the carriageway.</w:t>
      </w:r>
    </w:p>
    <w:p w14:paraId="5EE60DBC" w14:textId="78ADC75C" w:rsidR="00DA54B0" w:rsidRPr="002061B7" w:rsidRDefault="00DA54B0" w:rsidP="00D9789D">
      <w:pPr>
        <w:jc w:val="both"/>
        <w:rPr>
          <w:b/>
          <w:bCs/>
        </w:rPr>
      </w:pPr>
      <w:r w:rsidRPr="002061B7">
        <w:rPr>
          <w:b/>
          <w:bCs/>
        </w:rPr>
        <w:t>Network North highway maintenance funding</w:t>
      </w:r>
    </w:p>
    <w:p w14:paraId="21A0B24C" w14:textId="3ACF7675" w:rsidR="002B3989" w:rsidRDefault="00DA54B0" w:rsidP="00D9789D">
      <w:pPr>
        <w:jc w:val="both"/>
        <w:rPr>
          <w:lang w:val="en-US"/>
        </w:rPr>
      </w:pPr>
      <w:r>
        <w:t>Following the November allocation of £</w:t>
      </w:r>
      <w:r w:rsidR="002B3989">
        <w:t>360,000.00</w:t>
      </w:r>
      <w:r>
        <w:t xml:space="preserve"> for 23/24 and £</w:t>
      </w:r>
      <w:r w:rsidR="002B3989">
        <w:t>360,000.00</w:t>
      </w:r>
      <w:r>
        <w:t xml:space="preserve"> for 24/25 we have identified </w:t>
      </w:r>
      <w:r w:rsidR="002B3989">
        <w:t>two new</w:t>
      </w:r>
      <w:r>
        <w:t xml:space="preserve"> schemes to be delivered.</w:t>
      </w:r>
      <w:r w:rsidR="009E39C9">
        <w:t xml:space="preserve">  </w:t>
      </w:r>
      <w:r w:rsidR="002061B7">
        <w:t>These are</w:t>
      </w:r>
      <w:r w:rsidR="009E39C9">
        <w:t xml:space="preserve"> identified in appendix </w:t>
      </w:r>
      <w:r w:rsidR="00C54D9C">
        <w:t>B</w:t>
      </w:r>
      <w:r w:rsidR="002B3989">
        <w:t xml:space="preserve">. </w:t>
      </w:r>
      <w:r>
        <w:t>The bulk of this funding is allocated for 2024/25</w:t>
      </w:r>
      <w:r w:rsidR="002B3989">
        <w:t xml:space="preserve"> </w:t>
      </w:r>
      <w:r w:rsidR="002B3989">
        <w:rPr>
          <w:lang w:val="en-US"/>
        </w:rPr>
        <w:t>and</w:t>
      </w:r>
      <w:r w:rsidR="002B3989" w:rsidRPr="002B3989">
        <w:rPr>
          <w:lang w:val="en-US"/>
        </w:rPr>
        <w:t xml:space="preserve"> </w:t>
      </w:r>
      <w:r w:rsidR="005D6182">
        <w:rPr>
          <w:lang w:val="en-US"/>
        </w:rPr>
        <w:t xml:space="preserve">will </w:t>
      </w:r>
      <w:r w:rsidR="002B3989" w:rsidRPr="002B3989">
        <w:rPr>
          <w:lang w:val="en-US"/>
        </w:rPr>
        <w:t>be used to deliver</w:t>
      </w:r>
      <w:r w:rsidR="002B3989">
        <w:rPr>
          <w:lang w:val="en-US"/>
        </w:rPr>
        <w:t xml:space="preserve"> new</w:t>
      </w:r>
      <w:r w:rsidR="002B3989" w:rsidRPr="002B3989">
        <w:rPr>
          <w:lang w:val="en-US"/>
        </w:rPr>
        <w:t xml:space="preserve"> carriageway resurfacing schemes at Elvington Lane and A1079 Hull Road</w:t>
      </w:r>
      <w:r w:rsidR="005D6182">
        <w:rPr>
          <w:lang w:val="en-US"/>
        </w:rPr>
        <w:t>,</w:t>
      </w:r>
      <w:r w:rsidR="002B3989" w:rsidRPr="002B3989">
        <w:rPr>
          <w:lang w:val="en-US"/>
        </w:rPr>
        <w:t xml:space="preserve"> which will bring significant benefits to the </w:t>
      </w:r>
      <w:r w:rsidR="00B67420">
        <w:rPr>
          <w:lang w:val="en-US"/>
        </w:rPr>
        <w:t xml:space="preserve">locality. </w:t>
      </w:r>
    </w:p>
    <w:p w14:paraId="07EB71AE" w14:textId="77777777" w:rsidR="00D9789D" w:rsidRPr="00D9789D" w:rsidRDefault="00D9789D" w:rsidP="00D9789D">
      <w:pPr>
        <w:jc w:val="both"/>
        <w:rPr>
          <w:lang w:val="en-US"/>
        </w:rPr>
      </w:pPr>
      <w:r w:rsidRPr="00D9789D">
        <w:rPr>
          <w:lang w:val="en-US"/>
        </w:rPr>
        <w:t>The B1228 Elvington Lane is a busy route for commuters and HGV traffic linking many communities and industrial estates with the city of York. It also links York with the outlying popular tourist destinations around Elvington such as the Yorkshire Air Museum and the York Maze including Hallowscream. The B1228 is also a popular route for cyclists. The proposed resurfacing work will help the Highway Authority to keep the road in a safe condition for all different modes of travel. The work will also help to reduce revenue burden due to repeat reactive repairs currently required, which are also a safety risk for the work force carrying out these repairs.</w:t>
      </w:r>
    </w:p>
    <w:p w14:paraId="1500808F" w14:textId="77777777" w:rsidR="00D9789D" w:rsidRPr="00D9789D" w:rsidRDefault="00D9789D" w:rsidP="00D9789D">
      <w:pPr>
        <w:jc w:val="both"/>
        <w:rPr>
          <w:lang w:val="en-US"/>
        </w:rPr>
      </w:pPr>
      <w:r w:rsidRPr="00D9789D">
        <w:rPr>
          <w:lang w:val="en-US"/>
        </w:rPr>
        <w:t xml:space="preserve">The A1079 Hull Road scheme has been developed in consultation with National Highways, who were unable to maintain their traffic signal detectors due to the poor road surface on the approach to the A64 Grimston Bar roundabout.  The A1079 is a principal route connecting York to the port of Hull and carrying significant HGV and commuter traffic. The proposed resurfacing work will aid the optimisation of the traffic flows through the signal-controlled roundabout. The work will further help to reduce revenue burden due to the repeat reactive repairs currently required, which are difficult to </w:t>
      </w:r>
      <w:r w:rsidRPr="00D9789D">
        <w:rPr>
          <w:lang w:val="en-US"/>
        </w:rPr>
        <w:lastRenderedPageBreak/>
        <w:t>programme at the National Highways / local authority interface and present a safety risk for the work force carrying out the repairs.</w:t>
      </w:r>
    </w:p>
    <w:p w14:paraId="7E825B2A" w14:textId="609F783E" w:rsidR="00A164E2" w:rsidRDefault="009E39C9" w:rsidP="00D9789D">
      <w:pPr>
        <w:jc w:val="both"/>
        <w:rPr>
          <w:b/>
          <w:bCs/>
        </w:rPr>
      </w:pPr>
      <w:r>
        <w:rPr>
          <w:b/>
          <w:bCs/>
        </w:rPr>
        <w:t>Further Monitoring and Information</w:t>
      </w:r>
    </w:p>
    <w:p w14:paraId="71287188" w14:textId="238CDEA3" w:rsidR="009E39C9" w:rsidRDefault="002B3989" w:rsidP="00D9789D">
      <w:pPr>
        <w:jc w:val="both"/>
      </w:pPr>
      <w:r>
        <w:t>City of York</w:t>
      </w:r>
      <w:r w:rsidR="009E39C9">
        <w:t xml:space="preserve"> Council will continue to provide updates to DfT and the wider public regarding the delivery of the </w:t>
      </w:r>
      <w:r w:rsidR="009D3D30">
        <w:t>additional</w:t>
      </w:r>
      <w:r w:rsidR="009E39C9">
        <w:t xml:space="preserve"> schemes as outlined above.  As part of our </w:t>
      </w:r>
      <w:r w:rsidR="009D3D30">
        <w:t>ongoing programme</w:t>
      </w:r>
      <w:r w:rsidR="009E39C9">
        <w:t xml:space="preserve"> </w:t>
      </w:r>
      <w:r w:rsidR="009D3D30">
        <w:t>monitoring</w:t>
      </w:r>
      <w:r w:rsidR="009E39C9">
        <w:t xml:space="preserve"> </w:t>
      </w:r>
      <w:proofErr w:type="gramStart"/>
      <w:r w:rsidR="009E39C9">
        <w:t>process</w:t>
      </w:r>
      <w:proofErr w:type="gramEnd"/>
      <w:r w:rsidR="009E39C9">
        <w:t xml:space="preserve"> we monitor on site delivery dates and associate</w:t>
      </w:r>
      <w:r w:rsidR="009D3D30">
        <w:t>d</w:t>
      </w:r>
      <w:r w:rsidR="009E39C9">
        <w:t xml:space="preserve"> </w:t>
      </w:r>
      <w:r w:rsidR="009D3D30">
        <w:t>spending.</w:t>
      </w:r>
    </w:p>
    <w:p w14:paraId="0C5D22D6" w14:textId="6C0E26DC" w:rsidR="009D3D30" w:rsidRDefault="009D3D30"/>
    <w:p w14:paraId="75F5ABD2" w14:textId="6CCD98B0" w:rsidR="009D3D30" w:rsidRDefault="009D3D30">
      <w:r>
        <w:br w:type="page"/>
      </w:r>
    </w:p>
    <w:p w14:paraId="05B5377D" w14:textId="77777777" w:rsidR="009D3D30" w:rsidRDefault="009D3D30">
      <w:pPr>
        <w:sectPr w:rsidR="009D3D30">
          <w:headerReference w:type="default" r:id="rId7"/>
          <w:footerReference w:type="even" r:id="rId8"/>
          <w:footerReference w:type="default" r:id="rId9"/>
          <w:footerReference w:type="first" r:id="rId10"/>
          <w:pgSz w:w="11906" w:h="16838"/>
          <w:pgMar w:top="1440" w:right="1440" w:bottom="1440" w:left="1440" w:header="708" w:footer="708" w:gutter="0"/>
          <w:cols w:space="708"/>
          <w:docGrid w:linePitch="360"/>
        </w:sectPr>
      </w:pPr>
    </w:p>
    <w:p w14:paraId="6A2DE3D0" w14:textId="77777777" w:rsidR="007B4C11" w:rsidRDefault="007B4C11" w:rsidP="007B4C11">
      <w:r>
        <w:lastRenderedPageBreak/>
        <w:t>Appendix A</w:t>
      </w:r>
    </w:p>
    <w:p w14:paraId="7D899918" w14:textId="77777777" w:rsidR="007B4C11" w:rsidRDefault="007B4C11" w:rsidP="007B4C11">
      <w:r>
        <w:t>Schemes funded from the additional funding form Budget March 2023</w:t>
      </w:r>
    </w:p>
    <w:tbl>
      <w:tblPr>
        <w:tblStyle w:val="TableGrid"/>
        <w:tblW w:w="0" w:type="auto"/>
        <w:tblLook w:val="04A0" w:firstRow="1" w:lastRow="0" w:firstColumn="1" w:lastColumn="0" w:noHBand="0" w:noVBand="1"/>
      </w:tblPr>
      <w:tblGrid>
        <w:gridCol w:w="2758"/>
        <w:gridCol w:w="2043"/>
        <w:gridCol w:w="1145"/>
        <w:gridCol w:w="2628"/>
        <w:gridCol w:w="1583"/>
        <w:gridCol w:w="1189"/>
        <w:gridCol w:w="2602"/>
      </w:tblGrid>
      <w:tr w:rsidR="007B4C11" w:rsidRPr="00F67568" w14:paraId="00062096" w14:textId="77777777" w:rsidTr="00B7134C">
        <w:trPr>
          <w:trHeight w:val="315"/>
          <w:tblHeader/>
        </w:trPr>
        <w:tc>
          <w:tcPr>
            <w:tcW w:w="2758" w:type="dxa"/>
            <w:noWrap/>
            <w:hideMark/>
          </w:tcPr>
          <w:p w14:paraId="6AC2EEC6" w14:textId="77777777" w:rsidR="007B4C11" w:rsidRPr="00F67568" w:rsidRDefault="007B4C11" w:rsidP="00B7134C">
            <w:pPr>
              <w:rPr>
                <w:b/>
                <w:bCs/>
              </w:rPr>
            </w:pPr>
            <w:r w:rsidRPr="00F67568">
              <w:rPr>
                <w:b/>
                <w:bCs/>
              </w:rPr>
              <w:t>Scheme Name</w:t>
            </w:r>
          </w:p>
        </w:tc>
        <w:tc>
          <w:tcPr>
            <w:tcW w:w="2043" w:type="dxa"/>
            <w:noWrap/>
            <w:hideMark/>
          </w:tcPr>
          <w:p w14:paraId="534F049C" w14:textId="77777777" w:rsidR="007B4C11" w:rsidRPr="00F67568" w:rsidRDefault="007B4C11" w:rsidP="00B7134C">
            <w:pPr>
              <w:rPr>
                <w:b/>
                <w:bCs/>
              </w:rPr>
            </w:pPr>
            <w:r w:rsidRPr="00F67568">
              <w:rPr>
                <w:b/>
                <w:bCs/>
              </w:rPr>
              <w:t xml:space="preserve">Budget </w:t>
            </w:r>
          </w:p>
        </w:tc>
        <w:tc>
          <w:tcPr>
            <w:tcW w:w="1145" w:type="dxa"/>
            <w:noWrap/>
            <w:hideMark/>
          </w:tcPr>
          <w:p w14:paraId="1970B6FB" w14:textId="77777777" w:rsidR="007B4C11" w:rsidRPr="00F67568" w:rsidRDefault="007B4C11" w:rsidP="00B7134C">
            <w:pPr>
              <w:rPr>
                <w:b/>
                <w:bCs/>
              </w:rPr>
            </w:pPr>
            <w:r w:rsidRPr="00F67568">
              <w:rPr>
                <w:b/>
                <w:bCs/>
              </w:rPr>
              <w:t>Delivery Year</w:t>
            </w:r>
          </w:p>
        </w:tc>
        <w:tc>
          <w:tcPr>
            <w:tcW w:w="2628" w:type="dxa"/>
            <w:noWrap/>
            <w:hideMark/>
          </w:tcPr>
          <w:p w14:paraId="14287AA7" w14:textId="77777777" w:rsidR="007B4C11" w:rsidRPr="00F67568" w:rsidRDefault="007B4C11" w:rsidP="00B7134C">
            <w:pPr>
              <w:rPr>
                <w:b/>
                <w:bCs/>
              </w:rPr>
            </w:pPr>
            <w:r w:rsidRPr="00F67568">
              <w:rPr>
                <w:b/>
                <w:bCs/>
              </w:rPr>
              <w:t>Scheme Type</w:t>
            </w:r>
          </w:p>
        </w:tc>
        <w:tc>
          <w:tcPr>
            <w:tcW w:w="1583" w:type="dxa"/>
            <w:noWrap/>
            <w:hideMark/>
          </w:tcPr>
          <w:p w14:paraId="6FF6065F" w14:textId="77777777" w:rsidR="007B4C11" w:rsidRPr="00F67568" w:rsidRDefault="007B4C11" w:rsidP="00B7134C">
            <w:pPr>
              <w:rPr>
                <w:b/>
                <w:bCs/>
              </w:rPr>
            </w:pPr>
            <w:r w:rsidRPr="00F67568">
              <w:rPr>
                <w:b/>
                <w:bCs/>
              </w:rPr>
              <w:t xml:space="preserve">Location </w:t>
            </w:r>
          </w:p>
        </w:tc>
        <w:tc>
          <w:tcPr>
            <w:tcW w:w="1189" w:type="dxa"/>
            <w:noWrap/>
            <w:hideMark/>
          </w:tcPr>
          <w:p w14:paraId="4C5F6312" w14:textId="77777777" w:rsidR="007B4C11" w:rsidRPr="00F67568" w:rsidRDefault="007B4C11" w:rsidP="00B7134C">
            <w:pPr>
              <w:rPr>
                <w:b/>
                <w:bCs/>
              </w:rPr>
            </w:pPr>
            <w:r w:rsidRPr="00F67568">
              <w:rPr>
                <w:b/>
                <w:bCs/>
              </w:rPr>
              <w:t>m2 resurfaced</w:t>
            </w:r>
          </w:p>
        </w:tc>
        <w:tc>
          <w:tcPr>
            <w:tcW w:w="2602" w:type="dxa"/>
            <w:noWrap/>
            <w:hideMark/>
          </w:tcPr>
          <w:p w14:paraId="02688D6C" w14:textId="77777777" w:rsidR="007B4C11" w:rsidRPr="00F67568" w:rsidRDefault="007B4C11" w:rsidP="00B7134C">
            <w:pPr>
              <w:rPr>
                <w:b/>
                <w:bCs/>
              </w:rPr>
            </w:pPr>
            <w:r w:rsidRPr="00F67568">
              <w:rPr>
                <w:b/>
                <w:bCs/>
              </w:rPr>
              <w:t>Comments</w:t>
            </w:r>
          </w:p>
        </w:tc>
      </w:tr>
      <w:tr w:rsidR="007B4C11" w:rsidRPr="00F67568" w14:paraId="75A8AFDB" w14:textId="77777777" w:rsidTr="00B7134C">
        <w:trPr>
          <w:trHeight w:val="600"/>
        </w:trPr>
        <w:tc>
          <w:tcPr>
            <w:tcW w:w="2758" w:type="dxa"/>
            <w:hideMark/>
          </w:tcPr>
          <w:p w14:paraId="061CBE64" w14:textId="77777777" w:rsidR="007B4C11" w:rsidRPr="00F67568" w:rsidRDefault="007B4C11" w:rsidP="007B4C11">
            <w:r w:rsidRPr="00D9789D">
              <w:t>B1228 Elvington Lane</w:t>
            </w:r>
          </w:p>
        </w:tc>
        <w:tc>
          <w:tcPr>
            <w:tcW w:w="2043" w:type="dxa"/>
            <w:noWrap/>
            <w:hideMark/>
          </w:tcPr>
          <w:p w14:paraId="17C0A6AA" w14:textId="224D96CF" w:rsidR="007B4C11" w:rsidRPr="00F67568" w:rsidRDefault="007B4C11" w:rsidP="007B4C11">
            <w:r w:rsidRPr="00F67568">
              <w:t>£</w:t>
            </w:r>
            <w:r w:rsidR="00207ECD">
              <w:t xml:space="preserve"> 244,000.00</w:t>
            </w:r>
            <w:r w:rsidRPr="00F67568">
              <w:t xml:space="preserve">      </w:t>
            </w:r>
          </w:p>
        </w:tc>
        <w:tc>
          <w:tcPr>
            <w:tcW w:w="1145" w:type="dxa"/>
            <w:noWrap/>
            <w:hideMark/>
          </w:tcPr>
          <w:p w14:paraId="54C6944C" w14:textId="0DE61288" w:rsidR="007B4C11" w:rsidRPr="00F67568" w:rsidRDefault="007B4C11" w:rsidP="007B4C11">
            <w:r>
              <w:t>23/24</w:t>
            </w:r>
          </w:p>
        </w:tc>
        <w:tc>
          <w:tcPr>
            <w:tcW w:w="2628" w:type="dxa"/>
            <w:hideMark/>
          </w:tcPr>
          <w:p w14:paraId="61340335" w14:textId="4D57F403" w:rsidR="007B4C11" w:rsidRPr="00F67568" w:rsidRDefault="007B4C11" w:rsidP="007B4C11">
            <w:r w:rsidRPr="00F67568">
              <w:t>Carriageway</w:t>
            </w:r>
            <w:r>
              <w:t xml:space="preserve"> Patching </w:t>
            </w:r>
          </w:p>
        </w:tc>
        <w:tc>
          <w:tcPr>
            <w:tcW w:w="1583" w:type="dxa"/>
            <w:hideMark/>
          </w:tcPr>
          <w:p w14:paraId="236BF773" w14:textId="6D5B3837" w:rsidR="007B4C11" w:rsidRPr="00F67568" w:rsidRDefault="007B4C11" w:rsidP="007B4C11">
            <w:r>
              <w:t>York</w:t>
            </w:r>
          </w:p>
        </w:tc>
        <w:tc>
          <w:tcPr>
            <w:tcW w:w="1189" w:type="dxa"/>
            <w:noWrap/>
            <w:hideMark/>
          </w:tcPr>
          <w:p w14:paraId="0000BF89" w14:textId="240CCF71" w:rsidR="007B4C11" w:rsidRPr="00F67568" w:rsidRDefault="007B4C11" w:rsidP="007B4C11">
            <w:r>
              <w:t>2,650</w:t>
            </w:r>
          </w:p>
        </w:tc>
        <w:tc>
          <w:tcPr>
            <w:tcW w:w="2602" w:type="dxa"/>
            <w:noWrap/>
            <w:hideMark/>
          </w:tcPr>
          <w:p w14:paraId="37C0AC8F" w14:textId="77777777" w:rsidR="007B4C11" w:rsidRPr="00F67568" w:rsidRDefault="007B4C11" w:rsidP="007B4C11">
            <w:r w:rsidRPr="00F67568">
              <w:t> </w:t>
            </w:r>
          </w:p>
        </w:tc>
      </w:tr>
      <w:tr w:rsidR="007B4C11" w:rsidRPr="00F67568" w14:paraId="5128BAFB" w14:textId="77777777" w:rsidTr="00B7134C">
        <w:trPr>
          <w:trHeight w:val="600"/>
        </w:trPr>
        <w:tc>
          <w:tcPr>
            <w:tcW w:w="2758" w:type="dxa"/>
          </w:tcPr>
          <w:p w14:paraId="4D5A636A" w14:textId="1ED828DF" w:rsidR="007B4C11" w:rsidRPr="00D9789D" w:rsidRDefault="007B4C11" w:rsidP="007B4C11">
            <w:r>
              <w:t>Hazel B</w:t>
            </w:r>
            <w:r w:rsidR="00627BC8">
              <w:t>ush</w:t>
            </w:r>
            <w:r>
              <w:t xml:space="preserve"> Lane, Strensall</w:t>
            </w:r>
          </w:p>
        </w:tc>
        <w:tc>
          <w:tcPr>
            <w:tcW w:w="2043" w:type="dxa"/>
            <w:noWrap/>
          </w:tcPr>
          <w:p w14:paraId="1FA4C269" w14:textId="19C78817" w:rsidR="007B4C11" w:rsidRPr="00F67568" w:rsidRDefault="00207ECD" w:rsidP="007B4C11">
            <w:r>
              <w:t>£ 140,000.00</w:t>
            </w:r>
          </w:p>
        </w:tc>
        <w:tc>
          <w:tcPr>
            <w:tcW w:w="1145" w:type="dxa"/>
            <w:noWrap/>
          </w:tcPr>
          <w:p w14:paraId="0EC2F503" w14:textId="2119F6C7" w:rsidR="007B4C11" w:rsidRPr="00F67568" w:rsidRDefault="007B4C11" w:rsidP="007B4C11">
            <w:r>
              <w:t>23/24</w:t>
            </w:r>
          </w:p>
        </w:tc>
        <w:tc>
          <w:tcPr>
            <w:tcW w:w="2628" w:type="dxa"/>
          </w:tcPr>
          <w:p w14:paraId="683E36C6" w14:textId="1CBC34EE" w:rsidR="007B4C11" w:rsidRPr="00F67568" w:rsidRDefault="007B4C11" w:rsidP="007B4C11">
            <w:r w:rsidRPr="00F67568">
              <w:t>Carriageway</w:t>
            </w:r>
            <w:r>
              <w:t xml:space="preserve"> Patching</w:t>
            </w:r>
          </w:p>
        </w:tc>
        <w:tc>
          <w:tcPr>
            <w:tcW w:w="1583" w:type="dxa"/>
          </w:tcPr>
          <w:p w14:paraId="35C83D18" w14:textId="731EFAA7" w:rsidR="007B4C11" w:rsidRDefault="007B4C11" w:rsidP="007B4C11">
            <w:r>
              <w:t>York</w:t>
            </w:r>
          </w:p>
        </w:tc>
        <w:tc>
          <w:tcPr>
            <w:tcW w:w="1189" w:type="dxa"/>
            <w:noWrap/>
          </w:tcPr>
          <w:p w14:paraId="5DDCA286" w14:textId="629EAB5B" w:rsidR="007B4C11" w:rsidRDefault="007B4C11" w:rsidP="007B4C11">
            <w:r>
              <w:t>1,245</w:t>
            </w:r>
          </w:p>
        </w:tc>
        <w:tc>
          <w:tcPr>
            <w:tcW w:w="2602" w:type="dxa"/>
            <w:noWrap/>
          </w:tcPr>
          <w:p w14:paraId="7453E297" w14:textId="77777777" w:rsidR="007B4C11" w:rsidRPr="00F67568" w:rsidRDefault="007B4C11" w:rsidP="007B4C11"/>
        </w:tc>
      </w:tr>
      <w:tr w:rsidR="007B4C11" w:rsidRPr="00F67568" w14:paraId="7C57DA17" w14:textId="77777777" w:rsidTr="00B7134C">
        <w:trPr>
          <w:trHeight w:val="600"/>
        </w:trPr>
        <w:tc>
          <w:tcPr>
            <w:tcW w:w="2758" w:type="dxa"/>
            <w:hideMark/>
          </w:tcPr>
          <w:p w14:paraId="636F5E3E" w14:textId="337D048A" w:rsidR="007B4C11" w:rsidRPr="00F67568" w:rsidRDefault="007B4C11" w:rsidP="007B4C11">
            <w:r>
              <w:t xml:space="preserve">Ox Carr Lane, Strensall </w:t>
            </w:r>
          </w:p>
        </w:tc>
        <w:tc>
          <w:tcPr>
            <w:tcW w:w="2043" w:type="dxa"/>
            <w:noWrap/>
            <w:hideMark/>
          </w:tcPr>
          <w:p w14:paraId="427F49C3" w14:textId="5B631E75" w:rsidR="007B4C11" w:rsidRPr="00F67568" w:rsidRDefault="007B4C11" w:rsidP="007B4C11">
            <w:r w:rsidRPr="00F67568">
              <w:t xml:space="preserve"> £</w:t>
            </w:r>
            <w:r>
              <w:t xml:space="preserve"> </w:t>
            </w:r>
            <w:r w:rsidR="00207ECD">
              <w:t>120,000.00</w:t>
            </w:r>
            <w:r w:rsidRPr="00F67568">
              <w:t xml:space="preserve">                    </w:t>
            </w:r>
          </w:p>
        </w:tc>
        <w:tc>
          <w:tcPr>
            <w:tcW w:w="1145" w:type="dxa"/>
            <w:noWrap/>
            <w:hideMark/>
          </w:tcPr>
          <w:p w14:paraId="283DA47E" w14:textId="790DAF9D" w:rsidR="007B4C11" w:rsidRPr="00F67568" w:rsidRDefault="007B4C11" w:rsidP="007B4C11">
            <w:r>
              <w:t>23/24</w:t>
            </w:r>
          </w:p>
        </w:tc>
        <w:tc>
          <w:tcPr>
            <w:tcW w:w="2628" w:type="dxa"/>
            <w:hideMark/>
          </w:tcPr>
          <w:p w14:paraId="5FDC49C4" w14:textId="2A5119EC" w:rsidR="007B4C11" w:rsidRPr="00F67568" w:rsidRDefault="007B4C11" w:rsidP="007B4C11">
            <w:r w:rsidRPr="00F67568">
              <w:t xml:space="preserve">Carriageway </w:t>
            </w:r>
            <w:r>
              <w:t xml:space="preserve">Patching </w:t>
            </w:r>
          </w:p>
        </w:tc>
        <w:tc>
          <w:tcPr>
            <w:tcW w:w="1583" w:type="dxa"/>
            <w:hideMark/>
          </w:tcPr>
          <w:p w14:paraId="2106D5CC" w14:textId="3EB82808" w:rsidR="007B4C11" w:rsidRPr="00F67568" w:rsidRDefault="007B4C11" w:rsidP="007B4C11">
            <w:r>
              <w:t xml:space="preserve">York  </w:t>
            </w:r>
          </w:p>
        </w:tc>
        <w:tc>
          <w:tcPr>
            <w:tcW w:w="1189" w:type="dxa"/>
            <w:noWrap/>
            <w:hideMark/>
          </w:tcPr>
          <w:p w14:paraId="1E44B4AD" w14:textId="65290FEA" w:rsidR="007B4C11" w:rsidRPr="00F67568" w:rsidRDefault="007B4C11" w:rsidP="007B4C11">
            <w:r>
              <w:t>1,048</w:t>
            </w:r>
          </w:p>
        </w:tc>
        <w:tc>
          <w:tcPr>
            <w:tcW w:w="2602" w:type="dxa"/>
            <w:noWrap/>
            <w:hideMark/>
          </w:tcPr>
          <w:p w14:paraId="4CD401DA" w14:textId="77777777" w:rsidR="007B4C11" w:rsidRPr="00F67568" w:rsidRDefault="007B4C11" w:rsidP="007B4C11">
            <w:r w:rsidRPr="00F67568">
              <w:t> </w:t>
            </w:r>
          </w:p>
        </w:tc>
      </w:tr>
    </w:tbl>
    <w:p w14:paraId="38E3E6FC" w14:textId="77777777" w:rsidR="007B4C11" w:rsidRDefault="007B4C11" w:rsidP="00F67568"/>
    <w:p w14:paraId="5DDCA6F7" w14:textId="77777777" w:rsidR="007B4C11" w:rsidRDefault="007B4C11" w:rsidP="00F67568"/>
    <w:p w14:paraId="7B5A8C4C" w14:textId="757D2AB7" w:rsidR="00F67568" w:rsidRDefault="00F67568" w:rsidP="00F67568">
      <w:r>
        <w:t xml:space="preserve">Appendix </w:t>
      </w:r>
      <w:r w:rsidR="00A45CDF">
        <w:t>B</w:t>
      </w:r>
    </w:p>
    <w:p w14:paraId="5BC532EC" w14:textId="1DBE66C2" w:rsidR="00F67568" w:rsidRDefault="00F67568" w:rsidP="00F67568">
      <w:r>
        <w:t xml:space="preserve">Schemes funded from the additional Network North Highway Maintenance Funding </w:t>
      </w:r>
    </w:p>
    <w:p w14:paraId="2C78E497" w14:textId="34E62C9A" w:rsidR="00F67568" w:rsidRDefault="00F67568" w:rsidP="00F67568"/>
    <w:tbl>
      <w:tblPr>
        <w:tblStyle w:val="TableGrid"/>
        <w:tblW w:w="0" w:type="auto"/>
        <w:tblLook w:val="04A0" w:firstRow="1" w:lastRow="0" w:firstColumn="1" w:lastColumn="0" w:noHBand="0" w:noVBand="1"/>
      </w:tblPr>
      <w:tblGrid>
        <w:gridCol w:w="2758"/>
        <w:gridCol w:w="2043"/>
        <w:gridCol w:w="1145"/>
        <w:gridCol w:w="2628"/>
        <w:gridCol w:w="1583"/>
        <w:gridCol w:w="1189"/>
        <w:gridCol w:w="2602"/>
      </w:tblGrid>
      <w:tr w:rsidR="00DB45AC" w:rsidRPr="00F67568" w14:paraId="01342F23" w14:textId="77777777" w:rsidTr="002B3989">
        <w:trPr>
          <w:trHeight w:val="315"/>
          <w:tblHeader/>
        </w:trPr>
        <w:tc>
          <w:tcPr>
            <w:tcW w:w="2758" w:type="dxa"/>
            <w:noWrap/>
            <w:hideMark/>
          </w:tcPr>
          <w:p w14:paraId="4EB0CB61" w14:textId="77777777" w:rsidR="00F67568" w:rsidRPr="00F67568" w:rsidRDefault="00F67568">
            <w:pPr>
              <w:rPr>
                <w:b/>
                <w:bCs/>
              </w:rPr>
            </w:pPr>
            <w:r w:rsidRPr="00F67568">
              <w:rPr>
                <w:b/>
                <w:bCs/>
              </w:rPr>
              <w:t>Scheme Name</w:t>
            </w:r>
          </w:p>
        </w:tc>
        <w:tc>
          <w:tcPr>
            <w:tcW w:w="2043" w:type="dxa"/>
            <w:noWrap/>
            <w:hideMark/>
          </w:tcPr>
          <w:p w14:paraId="6F771496" w14:textId="77777777" w:rsidR="00F67568" w:rsidRPr="00F67568" w:rsidRDefault="00F67568">
            <w:pPr>
              <w:rPr>
                <w:b/>
                <w:bCs/>
              </w:rPr>
            </w:pPr>
            <w:r w:rsidRPr="00F67568">
              <w:rPr>
                <w:b/>
                <w:bCs/>
              </w:rPr>
              <w:t xml:space="preserve">Budget </w:t>
            </w:r>
          </w:p>
        </w:tc>
        <w:tc>
          <w:tcPr>
            <w:tcW w:w="1145" w:type="dxa"/>
            <w:noWrap/>
            <w:hideMark/>
          </w:tcPr>
          <w:p w14:paraId="465DC237" w14:textId="77777777" w:rsidR="00F67568" w:rsidRPr="00F67568" w:rsidRDefault="00F67568">
            <w:pPr>
              <w:rPr>
                <w:b/>
                <w:bCs/>
              </w:rPr>
            </w:pPr>
            <w:r w:rsidRPr="00F67568">
              <w:rPr>
                <w:b/>
                <w:bCs/>
              </w:rPr>
              <w:t>Delivery Year</w:t>
            </w:r>
          </w:p>
        </w:tc>
        <w:tc>
          <w:tcPr>
            <w:tcW w:w="2628" w:type="dxa"/>
            <w:noWrap/>
            <w:hideMark/>
          </w:tcPr>
          <w:p w14:paraId="15F09E69" w14:textId="77777777" w:rsidR="00F67568" w:rsidRPr="00F67568" w:rsidRDefault="00F67568">
            <w:pPr>
              <w:rPr>
                <w:b/>
                <w:bCs/>
              </w:rPr>
            </w:pPr>
            <w:r w:rsidRPr="00F67568">
              <w:rPr>
                <w:b/>
                <w:bCs/>
              </w:rPr>
              <w:t>Scheme Type</w:t>
            </w:r>
          </w:p>
        </w:tc>
        <w:tc>
          <w:tcPr>
            <w:tcW w:w="1583" w:type="dxa"/>
            <w:noWrap/>
            <w:hideMark/>
          </w:tcPr>
          <w:p w14:paraId="4AF9E13C" w14:textId="77777777" w:rsidR="00F67568" w:rsidRPr="00F67568" w:rsidRDefault="00F67568">
            <w:pPr>
              <w:rPr>
                <w:b/>
                <w:bCs/>
              </w:rPr>
            </w:pPr>
            <w:r w:rsidRPr="00F67568">
              <w:rPr>
                <w:b/>
                <w:bCs/>
              </w:rPr>
              <w:t xml:space="preserve">Location </w:t>
            </w:r>
          </w:p>
        </w:tc>
        <w:tc>
          <w:tcPr>
            <w:tcW w:w="1189" w:type="dxa"/>
            <w:noWrap/>
            <w:hideMark/>
          </w:tcPr>
          <w:p w14:paraId="6F429263" w14:textId="77777777" w:rsidR="00F67568" w:rsidRPr="00F67568" w:rsidRDefault="00F67568">
            <w:pPr>
              <w:rPr>
                <w:b/>
                <w:bCs/>
              </w:rPr>
            </w:pPr>
            <w:r w:rsidRPr="00F67568">
              <w:rPr>
                <w:b/>
                <w:bCs/>
              </w:rPr>
              <w:t>m2 resurfaced</w:t>
            </w:r>
          </w:p>
        </w:tc>
        <w:tc>
          <w:tcPr>
            <w:tcW w:w="2602" w:type="dxa"/>
            <w:noWrap/>
            <w:hideMark/>
          </w:tcPr>
          <w:p w14:paraId="67F6C6C4" w14:textId="77777777" w:rsidR="00F67568" w:rsidRPr="00F67568" w:rsidRDefault="00F67568">
            <w:pPr>
              <w:rPr>
                <w:b/>
                <w:bCs/>
              </w:rPr>
            </w:pPr>
            <w:r w:rsidRPr="00F67568">
              <w:rPr>
                <w:b/>
                <w:bCs/>
              </w:rPr>
              <w:t>Comments</w:t>
            </w:r>
          </w:p>
        </w:tc>
      </w:tr>
      <w:tr w:rsidR="00DB45AC" w:rsidRPr="00F67568" w14:paraId="24EA8932" w14:textId="77777777" w:rsidTr="002B3989">
        <w:trPr>
          <w:trHeight w:val="600"/>
        </w:trPr>
        <w:tc>
          <w:tcPr>
            <w:tcW w:w="2758" w:type="dxa"/>
            <w:hideMark/>
          </w:tcPr>
          <w:p w14:paraId="4A0114B3" w14:textId="2E368596" w:rsidR="00F67568" w:rsidRPr="00F67568" w:rsidRDefault="00D9789D">
            <w:r w:rsidRPr="00D9789D">
              <w:t>B1228 Elvington Lane</w:t>
            </w:r>
          </w:p>
        </w:tc>
        <w:tc>
          <w:tcPr>
            <w:tcW w:w="2043" w:type="dxa"/>
            <w:noWrap/>
            <w:hideMark/>
          </w:tcPr>
          <w:p w14:paraId="2683FFB5" w14:textId="6554742A" w:rsidR="00F67568" w:rsidRPr="00F67568" w:rsidRDefault="00F67568">
            <w:r w:rsidRPr="00F67568">
              <w:t xml:space="preserve"> £</w:t>
            </w:r>
            <w:r w:rsidR="00D9789D">
              <w:t xml:space="preserve"> 360,000.00</w:t>
            </w:r>
            <w:r w:rsidRPr="00F67568">
              <w:t xml:space="preserve">                 </w:t>
            </w:r>
          </w:p>
        </w:tc>
        <w:tc>
          <w:tcPr>
            <w:tcW w:w="1145" w:type="dxa"/>
            <w:noWrap/>
            <w:hideMark/>
          </w:tcPr>
          <w:p w14:paraId="30F5782E" w14:textId="77777777" w:rsidR="00F67568" w:rsidRPr="00F67568" w:rsidRDefault="00F67568">
            <w:r w:rsidRPr="00F67568">
              <w:t>24/25</w:t>
            </w:r>
          </w:p>
        </w:tc>
        <w:tc>
          <w:tcPr>
            <w:tcW w:w="2628" w:type="dxa"/>
            <w:hideMark/>
          </w:tcPr>
          <w:p w14:paraId="541043BE" w14:textId="77777777" w:rsidR="00F67568" w:rsidRPr="00F67568" w:rsidRDefault="00F67568">
            <w:r w:rsidRPr="00F67568">
              <w:t xml:space="preserve">Carriageway Resurfacing </w:t>
            </w:r>
          </w:p>
        </w:tc>
        <w:tc>
          <w:tcPr>
            <w:tcW w:w="1583" w:type="dxa"/>
            <w:hideMark/>
          </w:tcPr>
          <w:p w14:paraId="0F03B15C" w14:textId="35EEC805" w:rsidR="00F67568" w:rsidRPr="00F67568" w:rsidRDefault="002B3989">
            <w:r>
              <w:t>York</w:t>
            </w:r>
          </w:p>
        </w:tc>
        <w:tc>
          <w:tcPr>
            <w:tcW w:w="1189" w:type="dxa"/>
            <w:noWrap/>
            <w:hideMark/>
          </w:tcPr>
          <w:p w14:paraId="1BB7C807" w14:textId="292ECCDF" w:rsidR="00F67568" w:rsidRPr="00F67568" w:rsidRDefault="00D9789D" w:rsidP="00F67568">
            <w:r>
              <w:t>7,345</w:t>
            </w:r>
          </w:p>
        </w:tc>
        <w:tc>
          <w:tcPr>
            <w:tcW w:w="2602" w:type="dxa"/>
            <w:noWrap/>
            <w:hideMark/>
          </w:tcPr>
          <w:p w14:paraId="74817175" w14:textId="77777777" w:rsidR="00F67568" w:rsidRPr="00F67568" w:rsidRDefault="00F67568">
            <w:r w:rsidRPr="00F67568">
              <w:t> </w:t>
            </w:r>
          </w:p>
        </w:tc>
      </w:tr>
      <w:tr w:rsidR="00DB45AC" w:rsidRPr="00F67568" w14:paraId="2636BB05" w14:textId="77777777" w:rsidTr="002B3989">
        <w:trPr>
          <w:trHeight w:val="600"/>
        </w:trPr>
        <w:tc>
          <w:tcPr>
            <w:tcW w:w="2758" w:type="dxa"/>
            <w:hideMark/>
          </w:tcPr>
          <w:p w14:paraId="549E0806" w14:textId="1BE4156C" w:rsidR="00F67568" w:rsidRPr="00F67568" w:rsidRDefault="00D9789D">
            <w:r w:rsidRPr="00D9789D">
              <w:t>A1079 Hull Road to A64 Grimston Bar Roundabout</w:t>
            </w:r>
          </w:p>
        </w:tc>
        <w:tc>
          <w:tcPr>
            <w:tcW w:w="2043" w:type="dxa"/>
            <w:noWrap/>
            <w:hideMark/>
          </w:tcPr>
          <w:p w14:paraId="4DA6A53F" w14:textId="2AA14266" w:rsidR="00F67568" w:rsidRPr="00F67568" w:rsidRDefault="00F67568">
            <w:r w:rsidRPr="00F67568">
              <w:t xml:space="preserve"> £</w:t>
            </w:r>
            <w:r w:rsidR="00D9789D">
              <w:t xml:space="preserve"> 360,000.00</w:t>
            </w:r>
            <w:r w:rsidRPr="00F67568">
              <w:t xml:space="preserve">                    </w:t>
            </w:r>
          </w:p>
        </w:tc>
        <w:tc>
          <w:tcPr>
            <w:tcW w:w="1145" w:type="dxa"/>
            <w:noWrap/>
            <w:hideMark/>
          </w:tcPr>
          <w:p w14:paraId="0D1E3E47" w14:textId="77777777" w:rsidR="00F67568" w:rsidRPr="00F67568" w:rsidRDefault="00F67568">
            <w:r w:rsidRPr="00F67568">
              <w:t>24/25</w:t>
            </w:r>
          </w:p>
        </w:tc>
        <w:tc>
          <w:tcPr>
            <w:tcW w:w="2628" w:type="dxa"/>
            <w:hideMark/>
          </w:tcPr>
          <w:p w14:paraId="5C47DBD8" w14:textId="77777777" w:rsidR="00F67568" w:rsidRPr="00F67568" w:rsidRDefault="00F67568">
            <w:r w:rsidRPr="00F67568">
              <w:t xml:space="preserve">Carriageway Resurfacing </w:t>
            </w:r>
          </w:p>
        </w:tc>
        <w:tc>
          <w:tcPr>
            <w:tcW w:w="1583" w:type="dxa"/>
            <w:hideMark/>
          </w:tcPr>
          <w:p w14:paraId="4BC9D432" w14:textId="62D4D59C" w:rsidR="00F67568" w:rsidRPr="00F67568" w:rsidRDefault="002B3989">
            <w:r>
              <w:t xml:space="preserve">York </w:t>
            </w:r>
          </w:p>
        </w:tc>
        <w:tc>
          <w:tcPr>
            <w:tcW w:w="1189" w:type="dxa"/>
            <w:noWrap/>
            <w:hideMark/>
          </w:tcPr>
          <w:p w14:paraId="18DE5D21" w14:textId="420A52FD" w:rsidR="00F67568" w:rsidRPr="00F67568" w:rsidRDefault="00D9789D" w:rsidP="00F67568">
            <w:r>
              <w:t>9,148</w:t>
            </w:r>
          </w:p>
        </w:tc>
        <w:tc>
          <w:tcPr>
            <w:tcW w:w="2602" w:type="dxa"/>
            <w:noWrap/>
            <w:hideMark/>
          </w:tcPr>
          <w:p w14:paraId="25A78219" w14:textId="77777777" w:rsidR="00F67568" w:rsidRPr="00F67568" w:rsidRDefault="00F67568">
            <w:r w:rsidRPr="00F67568">
              <w:t> </w:t>
            </w:r>
          </w:p>
        </w:tc>
      </w:tr>
    </w:tbl>
    <w:p w14:paraId="7D49EF2D" w14:textId="18169373" w:rsidR="00F67568" w:rsidRDefault="00F67568" w:rsidP="00F67568"/>
    <w:p w14:paraId="62FD23C0" w14:textId="24516FEB" w:rsidR="00F67568" w:rsidRDefault="00F67568"/>
    <w:p w14:paraId="633F44D0" w14:textId="0D3FD37B" w:rsidR="00F67568" w:rsidRDefault="00F67568"/>
    <w:p w14:paraId="64A0C915" w14:textId="074F1BB3" w:rsidR="00F67568" w:rsidRDefault="00F67568"/>
    <w:p w14:paraId="00E6592E" w14:textId="1FF7E133" w:rsidR="00F67568" w:rsidRDefault="00F67568"/>
    <w:p w14:paraId="038730CF" w14:textId="7468148E" w:rsidR="00F67568" w:rsidRDefault="00F67568"/>
    <w:p w14:paraId="57E9793E" w14:textId="32DD261A" w:rsidR="00F67568" w:rsidRDefault="00F67568"/>
    <w:p w14:paraId="690B8078" w14:textId="794C714E" w:rsidR="00F67568" w:rsidRDefault="00F67568"/>
    <w:sectPr w:rsidR="00F67568" w:rsidSect="009D3D3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BCADA" w14:textId="77777777" w:rsidR="00B662E6" w:rsidRDefault="00B662E6" w:rsidP="00A164E2">
      <w:pPr>
        <w:spacing w:after="0" w:line="240" w:lineRule="auto"/>
      </w:pPr>
      <w:r>
        <w:separator/>
      </w:r>
    </w:p>
  </w:endnote>
  <w:endnote w:type="continuationSeparator" w:id="0">
    <w:p w14:paraId="25A7AB36" w14:textId="77777777" w:rsidR="00B662E6" w:rsidRDefault="00B662E6" w:rsidP="00A16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FE185" w14:textId="77777777" w:rsidR="00A164E2" w:rsidRDefault="00A164E2">
    <w:pPr>
      <w:pStyle w:val="Footer"/>
    </w:pPr>
    <w:r>
      <w:rPr>
        <w:noProof/>
      </w:rPr>
      <mc:AlternateContent>
        <mc:Choice Requires="wps">
          <w:drawing>
            <wp:anchor distT="0" distB="0" distL="0" distR="0" simplePos="0" relativeHeight="251659264" behindDoc="0" locked="0" layoutInCell="1" allowOverlap="1" wp14:anchorId="3546A465" wp14:editId="721D92ED">
              <wp:simplePos x="635" y="635"/>
              <wp:positionH relativeFrom="column">
                <wp:align>center</wp:align>
              </wp:positionH>
              <wp:positionV relativeFrom="paragraph">
                <wp:posOffset>635</wp:posOffset>
              </wp:positionV>
              <wp:extent cx="443865" cy="443865"/>
              <wp:effectExtent l="0" t="0" r="16510" b="17145"/>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5CDB3A" w14:textId="77777777" w:rsidR="00A164E2" w:rsidRPr="00A164E2" w:rsidRDefault="00A164E2">
                          <w:pPr>
                            <w:rPr>
                              <w:rFonts w:ascii="Calibri" w:eastAsia="Calibri" w:hAnsi="Calibri" w:cs="Calibri"/>
                              <w:color w:val="FF0000"/>
                              <w:sz w:val="20"/>
                              <w:szCs w:val="20"/>
                            </w:rPr>
                          </w:pPr>
                          <w:r w:rsidRPr="00A164E2">
                            <w:rPr>
                              <w:rFonts w:ascii="Calibri" w:eastAsia="Calibri" w:hAnsi="Calibri" w:cs="Calibri"/>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46A465"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B5CDB3A" w14:textId="77777777" w:rsidR="00A164E2" w:rsidRPr="00A164E2" w:rsidRDefault="00A164E2">
                    <w:pPr>
                      <w:rPr>
                        <w:rFonts w:ascii="Calibri" w:eastAsia="Calibri" w:hAnsi="Calibri" w:cs="Calibri"/>
                        <w:color w:val="FF0000"/>
                        <w:sz w:val="20"/>
                        <w:szCs w:val="20"/>
                      </w:rPr>
                    </w:pPr>
                    <w:r w:rsidRPr="00A164E2">
                      <w:rPr>
                        <w:rFonts w:ascii="Calibri" w:eastAsia="Calibri" w:hAnsi="Calibri" w:cs="Calibri"/>
                        <w:color w:val="FF0000"/>
                        <w:sz w:val="20"/>
                        <w:szCs w:val="2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A31B3" w14:textId="10BC4827" w:rsidR="00A164E2" w:rsidRDefault="00501DD6">
    <w:pPr>
      <w:pStyle w:val="Footer"/>
    </w:pPr>
    <w:r>
      <w:rPr>
        <w:noProof/>
      </w:rPr>
      <mc:AlternateContent>
        <mc:Choice Requires="wps">
          <w:drawing>
            <wp:anchor distT="0" distB="0" distL="114300" distR="114300" simplePos="0" relativeHeight="251661312" behindDoc="0" locked="0" layoutInCell="0" allowOverlap="1" wp14:anchorId="2228BE49" wp14:editId="771561AF">
              <wp:simplePos x="0" y="0"/>
              <wp:positionH relativeFrom="page">
                <wp:align>center</wp:align>
              </wp:positionH>
              <wp:positionV relativeFrom="page">
                <wp:align>bottom</wp:align>
              </wp:positionV>
              <wp:extent cx="7772400" cy="463550"/>
              <wp:effectExtent l="0" t="0" r="0" b="12700"/>
              <wp:wrapNone/>
              <wp:docPr id="5" name="MSIPCM8f0744fe9fffc51955571f31" descr="{&quot;HashCode&quot;:-139927281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A5229D" w14:textId="25B43A4B" w:rsidR="00501DD6" w:rsidRPr="00501DD6" w:rsidRDefault="00501DD6" w:rsidP="00501DD6">
                          <w:pPr>
                            <w:spacing w:after="0"/>
                            <w:jc w:val="center"/>
                            <w:rPr>
                              <w:rFonts w:ascii="Calibri" w:hAnsi="Calibri" w:cs="Calibri"/>
                              <w:color w:val="FF0000"/>
                              <w:sz w:val="20"/>
                            </w:rPr>
                          </w:pPr>
                          <w:r w:rsidRPr="00501DD6">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228BE49" id="_x0000_t202" coordsize="21600,21600" o:spt="202" path="m,l,21600r21600,l21600,xe">
              <v:stroke joinstyle="miter"/>
              <v:path gradientshapeok="t" o:connecttype="rect"/>
            </v:shapetype>
            <v:shape id="MSIPCM8f0744fe9fffc51955571f31" o:spid="_x0000_s1027" type="#_x0000_t202" alt="{&quot;HashCode&quot;:-1399272816,&quot;Height&quot;:9999999.0,&quot;Width&quot;:9999999.0,&quot;Placement&quot;:&quot;Footer&quot;,&quot;Index&quot;:&quot;Primary&quot;,&quot;Section&quot;:1,&quot;Top&quot;:0.0,&quot;Left&quot;:0.0}" style="position:absolute;margin-left:0;margin-top:0;width:612pt;height:36.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6EA5229D" w14:textId="25B43A4B" w:rsidR="00501DD6" w:rsidRPr="00501DD6" w:rsidRDefault="00501DD6" w:rsidP="00501DD6">
                    <w:pPr>
                      <w:spacing w:after="0"/>
                      <w:jc w:val="center"/>
                      <w:rPr>
                        <w:rFonts w:ascii="Calibri" w:hAnsi="Calibri" w:cs="Calibri"/>
                        <w:color w:val="FF0000"/>
                        <w:sz w:val="20"/>
                      </w:rPr>
                    </w:pPr>
                    <w:r w:rsidRPr="00501DD6">
                      <w:rPr>
                        <w:rFonts w:ascii="Calibri" w:hAnsi="Calibri" w:cs="Calibri"/>
                        <w:color w:val="FF0000"/>
                        <w:sz w:val="20"/>
                      </w:rPr>
                      <w:t>OFFICIAL</w:t>
                    </w:r>
                  </w:p>
                </w:txbxContent>
              </v:textbox>
              <w10:wrap anchorx="page" anchory="page"/>
            </v:shape>
          </w:pict>
        </mc:Fallback>
      </mc:AlternateContent>
    </w:r>
    <w:r w:rsidR="00A164E2">
      <w:rPr>
        <w:noProof/>
      </w:rPr>
      <mc:AlternateContent>
        <mc:Choice Requires="wps">
          <w:drawing>
            <wp:anchor distT="0" distB="0" distL="0" distR="0" simplePos="0" relativeHeight="251660288" behindDoc="0" locked="0" layoutInCell="1" allowOverlap="1" wp14:anchorId="739A7EF0" wp14:editId="0904AC4F">
              <wp:simplePos x="635" y="635"/>
              <wp:positionH relativeFrom="column">
                <wp:align>center</wp:align>
              </wp:positionH>
              <wp:positionV relativeFrom="paragraph">
                <wp:posOffset>635</wp:posOffset>
              </wp:positionV>
              <wp:extent cx="443865" cy="443865"/>
              <wp:effectExtent l="0" t="0" r="16510" b="17145"/>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770A63" w14:textId="77777777" w:rsidR="00A164E2" w:rsidRPr="00A164E2" w:rsidRDefault="00A164E2">
                          <w:pPr>
                            <w:rPr>
                              <w:rFonts w:ascii="Calibri" w:eastAsia="Calibri" w:hAnsi="Calibri" w:cs="Calibri"/>
                              <w:color w:val="FF0000"/>
                              <w:sz w:val="20"/>
                              <w:szCs w:val="20"/>
                            </w:rPr>
                          </w:pPr>
                          <w:r w:rsidRPr="00A164E2">
                            <w:rPr>
                              <w:rFonts w:ascii="Calibri" w:eastAsia="Calibri" w:hAnsi="Calibri" w:cs="Calibri"/>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739A7EF0" id="Text Box 3" o:spid="_x0000_s1028"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6770A63" w14:textId="77777777" w:rsidR="00A164E2" w:rsidRPr="00A164E2" w:rsidRDefault="00A164E2">
                    <w:pPr>
                      <w:rPr>
                        <w:rFonts w:ascii="Calibri" w:eastAsia="Calibri" w:hAnsi="Calibri" w:cs="Calibri"/>
                        <w:color w:val="FF0000"/>
                        <w:sz w:val="20"/>
                        <w:szCs w:val="20"/>
                      </w:rPr>
                    </w:pPr>
                    <w:r w:rsidRPr="00A164E2">
                      <w:rPr>
                        <w:rFonts w:ascii="Calibri" w:eastAsia="Calibri" w:hAnsi="Calibri" w:cs="Calibri"/>
                        <w:color w:val="FF0000"/>
                        <w:sz w:val="20"/>
                        <w:szCs w:val="20"/>
                      </w:rPr>
                      <w:t>OFFICIAL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991E" w14:textId="77777777" w:rsidR="00A164E2" w:rsidRDefault="00A164E2">
    <w:pPr>
      <w:pStyle w:val="Footer"/>
    </w:pPr>
    <w:r>
      <w:rPr>
        <w:noProof/>
      </w:rPr>
      <mc:AlternateContent>
        <mc:Choice Requires="wps">
          <w:drawing>
            <wp:anchor distT="0" distB="0" distL="0" distR="0" simplePos="0" relativeHeight="251658240" behindDoc="0" locked="0" layoutInCell="1" allowOverlap="1" wp14:anchorId="13531490" wp14:editId="7548A530">
              <wp:simplePos x="635" y="635"/>
              <wp:positionH relativeFrom="column">
                <wp:align>center</wp:align>
              </wp:positionH>
              <wp:positionV relativeFrom="paragraph">
                <wp:posOffset>635</wp:posOffset>
              </wp:positionV>
              <wp:extent cx="443865" cy="443865"/>
              <wp:effectExtent l="0" t="0" r="16510" b="17145"/>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F60A36" w14:textId="77777777" w:rsidR="00A164E2" w:rsidRPr="00A164E2" w:rsidRDefault="00A164E2">
                          <w:pPr>
                            <w:rPr>
                              <w:rFonts w:ascii="Calibri" w:eastAsia="Calibri" w:hAnsi="Calibri" w:cs="Calibri"/>
                              <w:color w:val="FF0000"/>
                              <w:sz w:val="20"/>
                              <w:szCs w:val="20"/>
                            </w:rPr>
                          </w:pPr>
                          <w:r w:rsidRPr="00A164E2">
                            <w:rPr>
                              <w:rFonts w:ascii="Calibri" w:eastAsia="Calibri" w:hAnsi="Calibri" w:cs="Calibri"/>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3531490" id="_x0000_t202" coordsize="21600,21600" o:spt="202" path="m,l,21600r21600,l21600,xe">
              <v:stroke joinstyle="miter"/>
              <v:path gradientshapeok="t" o:connecttype="rect"/>
            </v:shapetype>
            <v:shape id="Text Box 1" o:spid="_x0000_s1029"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7EF60A36" w14:textId="77777777" w:rsidR="00A164E2" w:rsidRPr="00A164E2" w:rsidRDefault="00A164E2">
                    <w:pPr>
                      <w:rPr>
                        <w:rFonts w:ascii="Calibri" w:eastAsia="Calibri" w:hAnsi="Calibri" w:cs="Calibri"/>
                        <w:color w:val="FF0000"/>
                        <w:sz w:val="20"/>
                        <w:szCs w:val="20"/>
                      </w:rPr>
                    </w:pPr>
                    <w:r w:rsidRPr="00A164E2">
                      <w:rPr>
                        <w:rFonts w:ascii="Calibri" w:eastAsia="Calibri" w:hAnsi="Calibri" w:cs="Calibri"/>
                        <w:color w:val="FF0000"/>
                        <w:sz w:val="20"/>
                        <w:szCs w:val="20"/>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5B614" w14:textId="77777777" w:rsidR="00B662E6" w:rsidRDefault="00B662E6" w:rsidP="00A164E2">
      <w:pPr>
        <w:spacing w:after="0" w:line="240" w:lineRule="auto"/>
      </w:pPr>
      <w:r>
        <w:separator/>
      </w:r>
    </w:p>
  </w:footnote>
  <w:footnote w:type="continuationSeparator" w:id="0">
    <w:p w14:paraId="71065626" w14:textId="77777777" w:rsidR="00B662E6" w:rsidRDefault="00B662E6" w:rsidP="00A16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558D0" w14:textId="51F225FB" w:rsidR="002061B7" w:rsidRDefault="002061B7" w:rsidP="002061B7">
    <w:pPr>
      <w:pStyle w:val="Header"/>
    </w:pPr>
    <w:r>
      <w:rPr>
        <w:noProof/>
      </w:rPr>
      <w:drawing>
        <wp:inline distT="0" distB="0" distL="0" distR="0" wp14:anchorId="51A7F150" wp14:editId="32E16FD1">
          <wp:extent cx="1699895" cy="302895"/>
          <wp:effectExtent l="0" t="0" r="0" b="1905"/>
          <wp:docPr id="4" name="Picture 4"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980124198" name="Picture 980124198"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895" cy="302895"/>
                  </a:xfrm>
                  <a:prstGeom prst="rect">
                    <a:avLst/>
                  </a:prstGeom>
                  <a:noFill/>
                  <a:ln>
                    <a:noFill/>
                  </a:ln>
                </pic:spPr>
              </pic:pic>
            </a:graphicData>
          </a:graphic>
        </wp:inline>
      </w:drawing>
    </w:r>
  </w:p>
  <w:p w14:paraId="1C081998" w14:textId="77777777" w:rsidR="002061B7" w:rsidRDefault="002061B7" w:rsidP="002061B7">
    <w:pPr>
      <w:pStyle w:val="Header"/>
    </w:pPr>
  </w:p>
  <w:p w14:paraId="5FC82012" w14:textId="7DCAAABD" w:rsidR="002061B7" w:rsidRPr="002061B7" w:rsidRDefault="002061B7" w:rsidP="002061B7">
    <w:pPr>
      <w:pStyle w:val="Header"/>
    </w:pPr>
    <w:r w:rsidRPr="002061B7">
      <w:rPr>
        <w:noProof/>
      </w:rPr>
      <w:drawing>
        <wp:inline distT="0" distB="0" distL="0" distR="0" wp14:anchorId="3DD9E72B" wp14:editId="56AEFC4A">
          <wp:extent cx="1904400" cy="619200"/>
          <wp:effectExtent l="0" t="0" r="635" b="9525"/>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4400" cy="619200"/>
                  </a:xfrm>
                  <a:prstGeom prst="rect">
                    <a:avLst/>
                  </a:prstGeom>
                  <a:noFill/>
                  <a:ln>
                    <a:noFill/>
                  </a:ln>
                </pic:spPr>
              </pic:pic>
            </a:graphicData>
          </a:graphic>
        </wp:inline>
      </w:drawing>
    </w:r>
  </w:p>
  <w:p w14:paraId="7C6D9B71" w14:textId="1B833286" w:rsidR="00A164E2" w:rsidRDefault="00A16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EC3881"/>
    <w:multiLevelType w:val="hybridMultilevel"/>
    <w:tmpl w:val="C7A0D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E22AA9"/>
    <w:multiLevelType w:val="hybridMultilevel"/>
    <w:tmpl w:val="B13CE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8830839">
    <w:abstractNumId w:val="1"/>
  </w:num>
  <w:num w:numId="2" w16cid:durableId="189537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E2"/>
    <w:rsid w:val="00184001"/>
    <w:rsid w:val="002061B7"/>
    <w:rsid w:val="00207ECD"/>
    <w:rsid w:val="00280545"/>
    <w:rsid w:val="002B3989"/>
    <w:rsid w:val="00387217"/>
    <w:rsid w:val="00425A8D"/>
    <w:rsid w:val="004661DF"/>
    <w:rsid w:val="00501DD6"/>
    <w:rsid w:val="005B4DC8"/>
    <w:rsid w:val="005D6182"/>
    <w:rsid w:val="00610255"/>
    <w:rsid w:val="00627BC8"/>
    <w:rsid w:val="006F0ACA"/>
    <w:rsid w:val="00767B87"/>
    <w:rsid w:val="00786D6A"/>
    <w:rsid w:val="007B4C11"/>
    <w:rsid w:val="007D234D"/>
    <w:rsid w:val="00845EBF"/>
    <w:rsid w:val="00891206"/>
    <w:rsid w:val="008D314F"/>
    <w:rsid w:val="008E2485"/>
    <w:rsid w:val="008F446B"/>
    <w:rsid w:val="00941F36"/>
    <w:rsid w:val="009D3D30"/>
    <w:rsid w:val="009E39C9"/>
    <w:rsid w:val="00A164E2"/>
    <w:rsid w:val="00A45CDF"/>
    <w:rsid w:val="00AB65F4"/>
    <w:rsid w:val="00B662E6"/>
    <w:rsid w:val="00B67420"/>
    <w:rsid w:val="00C34264"/>
    <w:rsid w:val="00C54D9C"/>
    <w:rsid w:val="00C92651"/>
    <w:rsid w:val="00D75A91"/>
    <w:rsid w:val="00D9789D"/>
    <w:rsid w:val="00DA54B0"/>
    <w:rsid w:val="00DB45AC"/>
    <w:rsid w:val="00E04957"/>
    <w:rsid w:val="00E95E96"/>
    <w:rsid w:val="00F2436A"/>
    <w:rsid w:val="00F67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CB88E"/>
  <w15:chartTrackingRefBased/>
  <w15:docId w15:val="{079FC976-4520-4652-8E89-DC0585AC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5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4E2"/>
  </w:style>
  <w:style w:type="paragraph" w:styleId="Footer">
    <w:name w:val="footer"/>
    <w:basedOn w:val="Normal"/>
    <w:link w:val="FooterChar"/>
    <w:uiPriority w:val="99"/>
    <w:unhideWhenUsed/>
    <w:rsid w:val="00A164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4E2"/>
  </w:style>
  <w:style w:type="paragraph" w:styleId="ListParagraph">
    <w:name w:val="List Paragraph"/>
    <w:basedOn w:val="Normal"/>
    <w:uiPriority w:val="34"/>
    <w:qFormat/>
    <w:rsid w:val="00610255"/>
    <w:pPr>
      <w:ind w:left="720"/>
      <w:contextualSpacing/>
    </w:pPr>
  </w:style>
  <w:style w:type="table" w:styleId="TableGrid">
    <w:name w:val="Table Grid"/>
    <w:basedOn w:val="TableNormal"/>
    <w:uiPriority w:val="39"/>
    <w:rsid w:val="009D3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1DD6"/>
    <w:pPr>
      <w:spacing w:after="0" w:line="240" w:lineRule="auto"/>
    </w:pPr>
  </w:style>
  <w:style w:type="paragraph" w:styleId="NormalWeb">
    <w:name w:val="Normal (Web)"/>
    <w:basedOn w:val="Normal"/>
    <w:uiPriority w:val="99"/>
    <w:semiHidden/>
    <w:unhideWhenUsed/>
    <w:rsid w:val="002061B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464358">
      <w:bodyDiv w:val="1"/>
      <w:marLeft w:val="0"/>
      <w:marRight w:val="0"/>
      <w:marTop w:val="0"/>
      <w:marBottom w:val="0"/>
      <w:divBdr>
        <w:top w:val="none" w:sz="0" w:space="0" w:color="auto"/>
        <w:left w:val="none" w:sz="0" w:space="0" w:color="auto"/>
        <w:bottom w:val="none" w:sz="0" w:space="0" w:color="auto"/>
        <w:right w:val="none" w:sz="0" w:space="0" w:color="auto"/>
      </w:divBdr>
    </w:div>
    <w:div w:id="688920264">
      <w:bodyDiv w:val="1"/>
      <w:marLeft w:val="0"/>
      <w:marRight w:val="0"/>
      <w:marTop w:val="0"/>
      <w:marBottom w:val="0"/>
      <w:divBdr>
        <w:top w:val="none" w:sz="0" w:space="0" w:color="auto"/>
        <w:left w:val="none" w:sz="0" w:space="0" w:color="auto"/>
        <w:bottom w:val="none" w:sz="0" w:space="0" w:color="auto"/>
        <w:right w:val="none" w:sz="0" w:space="0" w:color="auto"/>
      </w:divBdr>
    </w:div>
    <w:div w:id="840971501">
      <w:bodyDiv w:val="1"/>
      <w:marLeft w:val="0"/>
      <w:marRight w:val="0"/>
      <w:marTop w:val="0"/>
      <w:marBottom w:val="0"/>
      <w:divBdr>
        <w:top w:val="none" w:sz="0" w:space="0" w:color="auto"/>
        <w:left w:val="none" w:sz="0" w:space="0" w:color="auto"/>
        <w:bottom w:val="none" w:sz="0" w:space="0" w:color="auto"/>
        <w:right w:val="none" w:sz="0" w:space="0" w:color="auto"/>
      </w:divBdr>
    </w:div>
    <w:div w:id="1290012576">
      <w:bodyDiv w:val="1"/>
      <w:marLeft w:val="0"/>
      <w:marRight w:val="0"/>
      <w:marTop w:val="0"/>
      <w:marBottom w:val="0"/>
      <w:divBdr>
        <w:top w:val="none" w:sz="0" w:space="0" w:color="auto"/>
        <w:left w:val="none" w:sz="0" w:space="0" w:color="auto"/>
        <w:bottom w:val="none" w:sz="0" w:space="0" w:color="auto"/>
        <w:right w:val="none" w:sz="0" w:space="0" w:color="auto"/>
      </w:divBdr>
    </w:div>
    <w:div w:id="1563443913">
      <w:bodyDiv w:val="1"/>
      <w:marLeft w:val="0"/>
      <w:marRight w:val="0"/>
      <w:marTop w:val="0"/>
      <w:marBottom w:val="0"/>
      <w:divBdr>
        <w:top w:val="none" w:sz="0" w:space="0" w:color="auto"/>
        <w:left w:val="none" w:sz="0" w:space="0" w:color="auto"/>
        <w:bottom w:val="none" w:sz="0" w:space="0" w:color="auto"/>
        <w:right w:val="none" w:sz="0" w:space="0" w:color="auto"/>
      </w:divBdr>
    </w:div>
    <w:div w:id="171442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North Yorkshire County Council</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Gilroy</dc:creator>
  <cp:keywords/>
  <dc:description/>
  <cp:lastModifiedBy>Wragg, Steve</cp:lastModifiedBy>
  <cp:revision>3</cp:revision>
  <dcterms:created xsi:type="dcterms:W3CDTF">2024-03-14T16:09:00Z</dcterms:created>
  <dcterms:modified xsi:type="dcterms:W3CDTF">2024-03-14T16:12:00Z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#ff0000,10,Calibri</vt:lpwstr>
  </property>
  <property fmtid="{D5CDD505-2E9C-101B-9397-08002B2CF9AE}" pid="4" name="ClassificationContentMarkingFooterText">
    <vt:lpwstr>OFFICIAL</vt:lpwstr>
  </property>
  <property fmtid="{D5CDD505-2E9C-101B-9397-08002B2CF9AE}" pid="5" name="MSIP_Label_3ecdfc32-7be5-4b17-9f97-00453388bdd7_Enabled">
    <vt:lpwstr>true</vt:lpwstr>
  </property>
  <property fmtid="{D5CDD505-2E9C-101B-9397-08002B2CF9AE}" pid="6" name="MSIP_Label_3ecdfc32-7be5-4b17-9f97-00453388bdd7_SetDate">
    <vt:lpwstr>2024-03-13T11:28:54Z</vt:lpwstr>
  </property>
  <property fmtid="{D5CDD505-2E9C-101B-9397-08002B2CF9AE}" pid="7" name="MSIP_Label_3ecdfc32-7be5-4b17-9f97-00453388bdd7_Method">
    <vt:lpwstr>Standard</vt:lpwstr>
  </property>
  <property fmtid="{D5CDD505-2E9C-101B-9397-08002B2CF9AE}" pid="8" name="MSIP_Label_3ecdfc32-7be5-4b17-9f97-00453388bdd7_Name">
    <vt:lpwstr>OFFICIAL</vt:lpwstr>
  </property>
  <property fmtid="{D5CDD505-2E9C-101B-9397-08002B2CF9AE}" pid="9" name="MSIP_Label_3ecdfc32-7be5-4b17-9f97-00453388bdd7_SiteId">
    <vt:lpwstr>ad3d9c73-9830-44a1-b487-e1055441c70e</vt:lpwstr>
  </property>
  <property fmtid="{D5CDD505-2E9C-101B-9397-08002B2CF9AE}" pid="10" name="MSIP_Label_3ecdfc32-7be5-4b17-9f97-00453388bdd7_ActionId">
    <vt:lpwstr>5b655117-bb02-4e6d-acee-14ae1c673e8b</vt:lpwstr>
  </property>
  <property fmtid="{D5CDD505-2E9C-101B-9397-08002B2CF9AE}" pid="11" name="MSIP_Label_3ecdfc32-7be5-4b17-9f97-00453388bdd7_ContentBits">
    <vt:lpwstr>2</vt:lpwstr>
  </property>
</Properties>
</file>