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E548E" w14:textId="5F52A7DF" w:rsidR="007141BA" w:rsidRDefault="007141BA" w:rsidP="00DF6595">
      <w:pPr>
        <w:jc w:val="center"/>
        <w:rPr>
          <w:rFonts w:cs="Arial"/>
          <w:b/>
          <w:noProof/>
          <w:sz w:val="24"/>
          <w:szCs w:val="24"/>
        </w:rPr>
      </w:pPr>
      <w:r>
        <w:rPr>
          <w:rFonts w:cs="Arial"/>
          <w:b/>
          <w:noProof/>
          <w:sz w:val="24"/>
          <w:szCs w:val="24"/>
        </w:rPr>
        <w:tab/>
      </w:r>
      <w:r>
        <w:rPr>
          <w:rFonts w:cs="Arial"/>
          <w:b/>
          <w:noProof/>
          <w:sz w:val="24"/>
          <w:szCs w:val="24"/>
        </w:rPr>
        <w:tab/>
      </w:r>
      <w:r>
        <w:rPr>
          <w:rFonts w:cs="Arial"/>
          <w:b/>
          <w:noProof/>
          <w:sz w:val="24"/>
          <w:szCs w:val="24"/>
        </w:rPr>
        <w:tab/>
      </w:r>
    </w:p>
    <w:p w14:paraId="530E0CC6" w14:textId="024CDE17" w:rsidR="007141BA" w:rsidRDefault="002A38A9" w:rsidP="00DF6595">
      <w:pPr>
        <w:jc w:val="center"/>
        <w:rPr>
          <w:rFonts w:cs="Arial"/>
          <w:b/>
          <w:noProof/>
          <w:sz w:val="24"/>
          <w:szCs w:val="24"/>
        </w:rPr>
      </w:pPr>
      <w:r>
        <w:rPr>
          <w:rFonts w:cs="Arial"/>
          <w:b/>
          <w:noProof/>
          <w:sz w:val="24"/>
          <w:szCs w:val="24"/>
        </w:rPr>
        <w:drawing>
          <wp:inline distT="0" distB="0" distL="0" distR="0" wp14:anchorId="1E7DEF1C" wp14:editId="3CB2ADDD">
            <wp:extent cx="3152775" cy="1223645"/>
            <wp:effectExtent l="0" t="0" r="9525" b="0"/>
            <wp:docPr id="57987777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52775" cy="1223645"/>
                    </a:xfrm>
                    <a:prstGeom prst="rect">
                      <a:avLst/>
                    </a:prstGeom>
                    <a:noFill/>
                  </pic:spPr>
                </pic:pic>
              </a:graphicData>
            </a:graphic>
          </wp:inline>
        </w:drawing>
      </w:r>
      <w:r w:rsidR="002D0E68">
        <w:rPr>
          <w:rFonts w:cs="Arial"/>
          <w:b/>
          <w:noProof/>
          <w:sz w:val="24"/>
          <w:szCs w:val="24"/>
        </w:rPr>
        <w:tab/>
      </w:r>
      <w:r w:rsidR="002D0E68">
        <w:rPr>
          <w:rFonts w:cs="Arial"/>
          <w:b/>
          <w:noProof/>
          <w:sz w:val="24"/>
          <w:szCs w:val="24"/>
        </w:rPr>
        <w:tab/>
      </w:r>
      <w:r w:rsidR="002D0E68">
        <w:rPr>
          <w:rFonts w:cs="Arial"/>
          <w:b/>
          <w:noProof/>
          <w:sz w:val="24"/>
          <w:szCs w:val="24"/>
        </w:rPr>
        <w:drawing>
          <wp:inline distT="0" distB="0" distL="0" distR="0" wp14:anchorId="3F350A99" wp14:editId="14DAA6A6">
            <wp:extent cx="1085215" cy="1099820"/>
            <wp:effectExtent l="0" t="0" r="635" b="5080"/>
            <wp:docPr id="123823636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85215" cy="1099820"/>
                    </a:xfrm>
                    <a:prstGeom prst="rect">
                      <a:avLst/>
                    </a:prstGeom>
                    <a:noFill/>
                  </pic:spPr>
                </pic:pic>
              </a:graphicData>
            </a:graphic>
          </wp:inline>
        </w:drawing>
      </w:r>
    </w:p>
    <w:p w14:paraId="3569859E" w14:textId="77777777" w:rsidR="00615DAA" w:rsidRDefault="00615DAA" w:rsidP="002D0E68">
      <w:pPr>
        <w:rPr>
          <w:rFonts w:cs="Arial"/>
          <w:b/>
          <w:sz w:val="24"/>
          <w:szCs w:val="24"/>
        </w:rPr>
      </w:pPr>
    </w:p>
    <w:p w14:paraId="720E34C2" w14:textId="77777777" w:rsidR="00615DAA" w:rsidRDefault="00615DAA" w:rsidP="00DF6595">
      <w:pPr>
        <w:jc w:val="center"/>
        <w:rPr>
          <w:rFonts w:cs="Arial"/>
          <w:b/>
          <w:sz w:val="24"/>
          <w:szCs w:val="24"/>
        </w:rPr>
      </w:pPr>
    </w:p>
    <w:p w14:paraId="14FEE2B7" w14:textId="18A1D982" w:rsidR="001917AB" w:rsidRPr="00C51382" w:rsidRDefault="00490797" w:rsidP="00DF6595">
      <w:pPr>
        <w:jc w:val="center"/>
        <w:rPr>
          <w:rFonts w:cs="Arial"/>
          <w:b/>
          <w:sz w:val="24"/>
          <w:szCs w:val="24"/>
        </w:rPr>
      </w:pPr>
      <w:r>
        <w:rPr>
          <w:rFonts w:cs="Arial"/>
          <w:b/>
          <w:sz w:val="24"/>
          <w:szCs w:val="24"/>
        </w:rPr>
        <w:t>STRATEGI</w:t>
      </w:r>
      <w:r w:rsidR="007E1017">
        <w:rPr>
          <w:rFonts w:cs="Arial"/>
          <w:b/>
          <w:sz w:val="24"/>
          <w:szCs w:val="24"/>
        </w:rPr>
        <w:t xml:space="preserve">C OVERSIGHT </w:t>
      </w:r>
      <w:r w:rsidR="001917AB" w:rsidRPr="00C51382">
        <w:rPr>
          <w:rFonts w:cs="Arial"/>
          <w:b/>
          <w:sz w:val="24"/>
          <w:szCs w:val="24"/>
        </w:rPr>
        <w:t>BOARD</w:t>
      </w:r>
      <w:r w:rsidR="00615DAA" w:rsidRPr="00C51382">
        <w:rPr>
          <w:rFonts w:cs="Arial"/>
          <w:b/>
          <w:sz w:val="24"/>
          <w:szCs w:val="24"/>
        </w:rPr>
        <w:t xml:space="preserve"> REPORT</w:t>
      </w:r>
    </w:p>
    <w:p w14:paraId="114C3E3B" w14:textId="77777777" w:rsidR="00507243" w:rsidRPr="00C51382" w:rsidRDefault="00507243" w:rsidP="00DF6595">
      <w:pPr>
        <w:jc w:val="center"/>
        <w:rPr>
          <w:rFonts w:cs="Arial"/>
          <w:b/>
          <w:sz w:val="24"/>
          <w:szCs w:val="24"/>
        </w:rPr>
      </w:pPr>
    </w:p>
    <w:p w14:paraId="34FC164E" w14:textId="4CE9BA24" w:rsidR="00507243" w:rsidRPr="00C51382" w:rsidRDefault="00EB7E2B" w:rsidP="00DF6595">
      <w:pPr>
        <w:jc w:val="center"/>
        <w:rPr>
          <w:rFonts w:cs="Arial"/>
          <w:b/>
          <w:sz w:val="24"/>
          <w:szCs w:val="24"/>
          <w:u w:val="single"/>
        </w:rPr>
      </w:pPr>
      <w:r w:rsidRPr="00C51382">
        <w:rPr>
          <w:rFonts w:cs="Arial"/>
          <w:b/>
          <w:sz w:val="24"/>
          <w:szCs w:val="24"/>
          <w:u w:val="single"/>
        </w:rPr>
        <w:t xml:space="preserve">Report of the </w:t>
      </w:r>
      <w:bookmarkStart w:id="0" w:name="_Hlk190339196"/>
      <w:bookmarkStart w:id="1" w:name="_Hlk190339364"/>
      <w:r w:rsidR="00F02462">
        <w:rPr>
          <w:rFonts w:cs="Arial"/>
          <w:b/>
          <w:sz w:val="24"/>
          <w:szCs w:val="24"/>
          <w:u w:val="single"/>
        </w:rPr>
        <w:t xml:space="preserve">Assistant Director of Resources </w:t>
      </w:r>
      <w:bookmarkEnd w:id="0"/>
      <w:r w:rsidR="002845C3">
        <w:rPr>
          <w:rFonts w:cs="Arial"/>
          <w:b/>
          <w:sz w:val="24"/>
          <w:szCs w:val="24"/>
          <w:u w:val="single"/>
        </w:rPr>
        <w:t>Police, Fire and Crime Functions</w:t>
      </w:r>
      <w:bookmarkEnd w:id="1"/>
    </w:p>
    <w:p w14:paraId="45F08301" w14:textId="77777777" w:rsidR="00854B57" w:rsidRPr="00C51382" w:rsidRDefault="00854B57" w:rsidP="00DF6595">
      <w:pPr>
        <w:jc w:val="center"/>
        <w:rPr>
          <w:rFonts w:cs="Arial"/>
          <w:b/>
          <w:sz w:val="24"/>
          <w:szCs w:val="24"/>
        </w:rPr>
      </w:pPr>
    </w:p>
    <w:p w14:paraId="36DEA0F2" w14:textId="6E282674" w:rsidR="004C5EA0" w:rsidRPr="00C51382" w:rsidRDefault="00EB3937" w:rsidP="00F1330E">
      <w:pPr>
        <w:jc w:val="center"/>
        <w:rPr>
          <w:rFonts w:cs="Arial"/>
          <w:b/>
          <w:sz w:val="24"/>
          <w:szCs w:val="24"/>
        </w:rPr>
      </w:pPr>
      <w:r w:rsidRPr="00EB3937">
        <w:rPr>
          <w:rFonts w:cs="Arial"/>
          <w:b/>
          <w:sz w:val="24"/>
          <w:szCs w:val="24"/>
        </w:rPr>
        <w:t>24</w:t>
      </w:r>
      <w:r w:rsidR="002F6C2D" w:rsidRPr="00EB3937">
        <w:rPr>
          <w:rFonts w:cs="Arial"/>
          <w:b/>
          <w:sz w:val="24"/>
          <w:szCs w:val="24"/>
        </w:rPr>
        <w:t>th</w:t>
      </w:r>
      <w:r w:rsidR="00C9111F" w:rsidRPr="00EB3937">
        <w:rPr>
          <w:rFonts w:cs="Arial"/>
          <w:b/>
          <w:sz w:val="24"/>
          <w:szCs w:val="24"/>
        </w:rPr>
        <w:t xml:space="preserve"> </w:t>
      </w:r>
      <w:r w:rsidR="00F1330E" w:rsidRPr="00EB3937">
        <w:rPr>
          <w:rFonts w:cs="Arial"/>
          <w:b/>
          <w:sz w:val="24"/>
          <w:szCs w:val="24"/>
        </w:rPr>
        <w:t xml:space="preserve">February </w:t>
      </w:r>
      <w:r w:rsidR="00A67311" w:rsidRPr="00EB3937">
        <w:rPr>
          <w:rFonts w:cs="Arial"/>
          <w:b/>
          <w:sz w:val="24"/>
          <w:szCs w:val="24"/>
        </w:rPr>
        <w:t>20</w:t>
      </w:r>
      <w:r w:rsidR="00C66100" w:rsidRPr="00EB3937">
        <w:rPr>
          <w:rFonts w:cs="Arial"/>
          <w:b/>
          <w:sz w:val="24"/>
          <w:szCs w:val="24"/>
        </w:rPr>
        <w:t>2</w:t>
      </w:r>
      <w:r w:rsidR="007E1017" w:rsidRPr="00EB3937">
        <w:rPr>
          <w:rFonts w:cs="Arial"/>
          <w:b/>
          <w:sz w:val="24"/>
          <w:szCs w:val="24"/>
        </w:rPr>
        <w:t>6</w:t>
      </w:r>
    </w:p>
    <w:p w14:paraId="15D126C1" w14:textId="77777777" w:rsidR="004C5EA0" w:rsidRPr="00C51382" w:rsidRDefault="004C5EA0" w:rsidP="00DF6595">
      <w:pPr>
        <w:jc w:val="center"/>
        <w:rPr>
          <w:rFonts w:cs="Arial"/>
          <w:b/>
          <w:sz w:val="24"/>
          <w:szCs w:val="24"/>
        </w:rPr>
      </w:pPr>
    </w:p>
    <w:p w14:paraId="13C86E7E" w14:textId="6E2647FC" w:rsidR="004C5EA0" w:rsidRPr="00C51382" w:rsidRDefault="000B49C0" w:rsidP="00DF6595">
      <w:pPr>
        <w:jc w:val="center"/>
        <w:rPr>
          <w:rFonts w:cs="Arial"/>
          <w:b/>
          <w:sz w:val="24"/>
          <w:szCs w:val="24"/>
        </w:rPr>
      </w:pPr>
      <w:r w:rsidRPr="00C23432">
        <w:rPr>
          <w:rFonts w:cs="Arial"/>
          <w:b/>
          <w:sz w:val="24"/>
          <w:szCs w:val="24"/>
        </w:rPr>
        <w:t>TREASURY MANAGEMENT</w:t>
      </w:r>
      <w:r w:rsidR="0065473F" w:rsidRPr="00C23432">
        <w:rPr>
          <w:rFonts w:cs="Arial"/>
          <w:b/>
          <w:sz w:val="24"/>
          <w:szCs w:val="24"/>
        </w:rPr>
        <w:t xml:space="preserve"> </w:t>
      </w:r>
      <w:r w:rsidR="00103CF8" w:rsidRPr="00C23432">
        <w:rPr>
          <w:rFonts w:cs="Arial"/>
          <w:b/>
          <w:sz w:val="24"/>
          <w:szCs w:val="24"/>
        </w:rPr>
        <w:t>AND CAP</w:t>
      </w:r>
      <w:r w:rsidR="002845C3" w:rsidRPr="00C23432">
        <w:rPr>
          <w:rFonts w:cs="Arial"/>
          <w:b/>
          <w:sz w:val="24"/>
          <w:szCs w:val="24"/>
        </w:rPr>
        <w:t>IT</w:t>
      </w:r>
      <w:r w:rsidR="00103CF8" w:rsidRPr="00C23432">
        <w:rPr>
          <w:rFonts w:cs="Arial"/>
          <w:b/>
          <w:sz w:val="24"/>
          <w:szCs w:val="24"/>
        </w:rPr>
        <w:t xml:space="preserve">AL </w:t>
      </w:r>
      <w:r w:rsidR="0065473F" w:rsidRPr="00C23432">
        <w:rPr>
          <w:rFonts w:cs="Arial"/>
          <w:b/>
          <w:sz w:val="24"/>
          <w:szCs w:val="24"/>
        </w:rPr>
        <w:t xml:space="preserve">STRATEGY </w:t>
      </w:r>
      <w:r w:rsidR="00F350DF" w:rsidRPr="00C23432">
        <w:rPr>
          <w:rFonts w:cs="Arial"/>
          <w:b/>
          <w:sz w:val="24"/>
          <w:szCs w:val="24"/>
        </w:rPr>
        <w:t>202</w:t>
      </w:r>
      <w:r w:rsidR="007E1017" w:rsidRPr="00C23432">
        <w:rPr>
          <w:rFonts w:cs="Arial"/>
          <w:b/>
          <w:sz w:val="24"/>
          <w:szCs w:val="24"/>
        </w:rPr>
        <w:t>6</w:t>
      </w:r>
      <w:r w:rsidR="00F350DF" w:rsidRPr="00C23432">
        <w:rPr>
          <w:rFonts w:cs="Arial"/>
          <w:b/>
          <w:sz w:val="24"/>
          <w:szCs w:val="24"/>
        </w:rPr>
        <w:t>/2</w:t>
      </w:r>
      <w:r w:rsidR="007E1017" w:rsidRPr="00C23432">
        <w:rPr>
          <w:rFonts w:cs="Arial"/>
          <w:b/>
          <w:sz w:val="24"/>
          <w:szCs w:val="24"/>
        </w:rPr>
        <w:t>7</w:t>
      </w:r>
    </w:p>
    <w:p w14:paraId="0B4389FB" w14:textId="77777777" w:rsidR="004C5EA0" w:rsidRPr="001533EE" w:rsidRDefault="004C5EA0">
      <w:pPr>
        <w:rPr>
          <w:rFonts w:cs="Arial"/>
          <w:b/>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E6E6E6"/>
        <w:tblLayout w:type="fixed"/>
        <w:tblLook w:val="0000" w:firstRow="0" w:lastRow="0" w:firstColumn="0" w:lastColumn="0" w:noHBand="0" w:noVBand="0"/>
      </w:tblPr>
      <w:tblGrid>
        <w:gridCol w:w="10031"/>
      </w:tblGrid>
      <w:tr w:rsidR="004C5EA0" w:rsidRPr="001533EE" w14:paraId="6C1C55F9" w14:textId="77777777">
        <w:trPr>
          <w:trHeight w:val="1350"/>
        </w:trPr>
        <w:tc>
          <w:tcPr>
            <w:tcW w:w="10031" w:type="dxa"/>
            <w:shd w:val="clear" w:color="000000" w:fill="E6E6E6"/>
            <w:vAlign w:val="center"/>
          </w:tcPr>
          <w:p w14:paraId="39110A1F" w14:textId="77777777" w:rsidR="004C5EA0" w:rsidRPr="001533EE" w:rsidRDefault="004C5EA0" w:rsidP="005665CB">
            <w:pPr>
              <w:ind w:left="709" w:hanging="709"/>
              <w:jc w:val="both"/>
              <w:rPr>
                <w:rFonts w:cs="Arial"/>
                <w:sz w:val="24"/>
                <w:szCs w:val="24"/>
              </w:rPr>
            </w:pPr>
          </w:p>
          <w:p w14:paraId="5DBE19FB" w14:textId="77777777" w:rsidR="004C5EA0" w:rsidRPr="001533EE" w:rsidRDefault="004C5EA0" w:rsidP="005665CB">
            <w:pPr>
              <w:ind w:left="709" w:hanging="709"/>
              <w:jc w:val="both"/>
              <w:rPr>
                <w:rFonts w:cs="Arial"/>
                <w:b/>
                <w:sz w:val="24"/>
                <w:szCs w:val="24"/>
              </w:rPr>
            </w:pPr>
            <w:r w:rsidRPr="001533EE">
              <w:rPr>
                <w:rFonts w:cs="Arial"/>
                <w:b/>
                <w:sz w:val="24"/>
                <w:szCs w:val="24"/>
              </w:rPr>
              <w:t>1.</w:t>
            </w:r>
            <w:r w:rsidR="00660DEE" w:rsidRPr="001533EE">
              <w:rPr>
                <w:rFonts w:cs="Arial"/>
                <w:b/>
                <w:sz w:val="24"/>
                <w:szCs w:val="24"/>
              </w:rPr>
              <w:t>0</w:t>
            </w:r>
            <w:r w:rsidRPr="001533EE">
              <w:rPr>
                <w:rFonts w:cs="Arial"/>
                <w:sz w:val="24"/>
                <w:szCs w:val="24"/>
              </w:rPr>
              <w:tab/>
            </w:r>
            <w:r w:rsidR="00A149D3" w:rsidRPr="001533EE">
              <w:rPr>
                <w:rFonts w:cs="Arial"/>
                <w:b/>
                <w:sz w:val="24"/>
                <w:szCs w:val="24"/>
                <w:u w:val="single"/>
              </w:rPr>
              <w:t>Purpose of Report</w:t>
            </w:r>
          </w:p>
          <w:p w14:paraId="60F7A067" w14:textId="77777777" w:rsidR="004C5EA0" w:rsidRPr="001533EE" w:rsidRDefault="004C5EA0" w:rsidP="005665CB">
            <w:pPr>
              <w:ind w:left="709" w:hanging="709"/>
              <w:jc w:val="both"/>
              <w:rPr>
                <w:rFonts w:cs="Arial"/>
                <w:sz w:val="24"/>
                <w:szCs w:val="24"/>
              </w:rPr>
            </w:pPr>
          </w:p>
          <w:p w14:paraId="6AD0385E" w14:textId="192FDCEA" w:rsidR="00F02462" w:rsidRDefault="00F02462" w:rsidP="00D70DAC">
            <w:pPr>
              <w:numPr>
                <w:ilvl w:val="1"/>
                <w:numId w:val="2"/>
              </w:numPr>
              <w:ind w:left="709" w:right="176" w:hanging="709"/>
              <w:jc w:val="both"/>
              <w:rPr>
                <w:rFonts w:cs="Arial"/>
                <w:sz w:val="24"/>
                <w:szCs w:val="24"/>
              </w:rPr>
            </w:pPr>
            <w:r>
              <w:rPr>
                <w:rFonts w:cs="Arial"/>
                <w:sz w:val="24"/>
                <w:szCs w:val="24"/>
              </w:rPr>
              <w:t>While there is no longer a separate Fire Authority in terms of being a standalone Authority, and all the responsibilities of the Fire Authority sit with the Mayoral Combined Authority, there is still separation of many of the financial processes at this stage.</w:t>
            </w:r>
          </w:p>
          <w:p w14:paraId="52927F43" w14:textId="77777777" w:rsidR="00F02462" w:rsidRDefault="00F02462" w:rsidP="00F02462">
            <w:pPr>
              <w:ind w:left="709" w:right="176"/>
              <w:jc w:val="both"/>
              <w:rPr>
                <w:rFonts w:cs="Arial"/>
                <w:sz w:val="24"/>
                <w:szCs w:val="24"/>
              </w:rPr>
            </w:pPr>
          </w:p>
          <w:p w14:paraId="1AED610A" w14:textId="10D14F61" w:rsidR="00F02462" w:rsidRDefault="00F02462" w:rsidP="00D70DAC">
            <w:pPr>
              <w:numPr>
                <w:ilvl w:val="1"/>
                <w:numId w:val="2"/>
              </w:numPr>
              <w:ind w:left="709" w:right="176" w:hanging="709"/>
              <w:jc w:val="both"/>
              <w:rPr>
                <w:rFonts w:cs="Arial"/>
                <w:sz w:val="24"/>
                <w:szCs w:val="24"/>
              </w:rPr>
            </w:pPr>
            <w:r>
              <w:rPr>
                <w:rFonts w:cs="Arial"/>
                <w:sz w:val="24"/>
                <w:szCs w:val="24"/>
              </w:rPr>
              <w:t>There remain separate Banking functions for Fire, as well as separate and distinct Fire Budgets, including the Capital Programme and associated borrowing.</w:t>
            </w:r>
          </w:p>
          <w:p w14:paraId="3461785E" w14:textId="77777777" w:rsidR="00F02462" w:rsidRDefault="00F02462" w:rsidP="00F02462">
            <w:pPr>
              <w:pStyle w:val="ListParagraph"/>
              <w:rPr>
                <w:rFonts w:cs="Arial"/>
                <w:sz w:val="24"/>
                <w:szCs w:val="24"/>
              </w:rPr>
            </w:pPr>
          </w:p>
          <w:p w14:paraId="16D170AD" w14:textId="69C90A8B" w:rsidR="001B091C" w:rsidRPr="00EB3937" w:rsidRDefault="00F02462" w:rsidP="00F716B0">
            <w:pPr>
              <w:numPr>
                <w:ilvl w:val="1"/>
                <w:numId w:val="2"/>
              </w:numPr>
              <w:ind w:left="709" w:right="176" w:hanging="709"/>
              <w:jc w:val="both"/>
              <w:rPr>
                <w:rFonts w:cs="Arial"/>
                <w:sz w:val="24"/>
                <w:szCs w:val="24"/>
              </w:rPr>
            </w:pPr>
            <w:r w:rsidRPr="00EB3937">
              <w:rPr>
                <w:rFonts w:cs="Arial"/>
                <w:sz w:val="24"/>
                <w:szCs w:val="24"/>
              </w:rPr>
              <w:t xml:space="preserve">Within the wider Mayoral Combined Authority </w:t>
            </w:r>
            <w:r w:rsidR="0056053B" w:rsidRPr="00EB3937">
              <w:rPr>
                <w:rFonts w:cs="Arial"/>
                <w:sz w:val="24"/>
                <w:szCs w:val="24"/>
              </w:rPr>
              <w:t>structure,</w:t>
            </w:r>
            <w:r w:rsidRPr="00EB3937">
              <w:rPr>
                <w:rFonts w:cs="Arial"/>
                <w:sz w:val="24"/>
                <w:szCs w:val="24"/>
              </w:rPr>
              <w:t xml:space="preserve"> it therefore makes sense to continue to set</w:t>
            </w:r>
            <w:r w:rsidR="0056053B" w:rsidRPr="00EB3937">
              <w:rPr>
                <w:rFonts w:cs="Arial"/>
                <w:sz w:val="24"/>
                <w:szCs w:val="24"/>
              </w:rPr>
              <w:t xml:space="preserve"> for</w:t>
            </w:r>
            <w:r w:rsidRPr="00EB3937">
              <w:rPr>
                <w:rFonts w:cs="Arial"/>
                <w:sz w:val="24"/>
                <w:szCs w:val="24"/>
              </w:rPr>
              <w:t xml:space="preserve"> Fire </w:t>
            </w:r>
            <w:r w:rsidR="00DB3767" w:rsidRPr="00EB3937">
              <w:rPr>
                <w:rFonts w:cs="Arial"/>
                <w:sz w:val="24"/>
                <w:szCs w:val="24"/>
              </w:rPr>
              <w:t>a</w:t>
            </w:r>
            <w:r w:rsidRPr="00EB3937">
              <w:rPr>
                <w:rFonts w:cs="Arial"/>
                <w:sz w:val="24"/>
                <w:szCs w:val="24"/>
              </w:rPr>
              <w:t xml:space="preserve"> separate</w:t>
            </w:r>
            <w:r w:rsidR="00DB3767" w:rsidRPr="00EB3937">
              <w:rPr>
                <w:rFonts w:cs="Arial"/>
                <w:sz w:val="24"/>
                <w:szCs w:val="24"/>
              </w:rPr>
              <w:t xml:space="preserve"> Annual Treasury Management Str</w:t>
            </w:r>
            <w:r w:rsidR="00A270BA" w:rsidRPr="00EB3937">
              <w:rPr>
                <w:rFonts w:cs="Arial"/>
                <w:sz w:val="24"/>
                <w:szCs w:val="24"/>
              </w:rPr>
              <w:t>ategy</w:t>
            </w:r>
            <w:r w:rsidR="0065473F" w:rsidRPr="00EB3937">
              <w:rPr>
                <w:rFonts w:cs="Arial"/>
                <w:sz w:val="24"/>
                <w:szCs w:val="24"/>
              </w:rPr>
              <w:t xml:space="preserve"> Statement</w:t>
            </w:r>
            <w:r w:rsidR="00A270BA" w:rsidRPr="00EB3937">
              <w:rPr>
                <w:rFonts w:cs="Arial"/>
                <w:sz w:val="24"/>
                <w:szCs w:val="24"/>
              </w:rPr>
              <w:t xml:space="preserve"> for the financial year 20</w:t>
            </w:r>
            <w:r w:rsidR="00C66100" w:rsidRPr="00EB3937">
              <w:rPr>
                <w:rFonts w:cs="Arial"/>
                <w:sz w:val="24"/>
                <w:szCs w:val="24"/>
              </w:rPr>
              <w:t>2</w:t>
            </w:r>
            <w:r w:rsidR="00725272" w:rsidRPr="00EB3937">
              <w:rPr>
                <w:rFonts w:cs="Arial"/>
                <w:sz w:val="24"/>
                <w:szCs w:val="24"/>
              </w:rPr>
              <w:t>6</w:t>
            </w:r>
            <w:r w:rsidR="00A270BA" w:rsidRPr="00EB3937">
              <w:rPr>
                <w:rFonts w:cs="Arial"/>
                <w:sz w:val="24"/>
                <w:szCs w:val="24"/>
              </w:rPr>
              <w:t>/</w:t>
            </w:r>
            <w:r w:rsidR="00A67311" w:rsidRPr="00EB3937">
              <w:rPr>
                <w:rFonts w:cs="Arial"/>
                <w:sz w:val="24"/>
                <w:szCs w:val="24"/>
              </w:rPr>
              <w:t>2</w:t>
            </w:r>
            <w:r w:rsidR="00725272" w:rsidRPr="00EB3937">
              <w:rPr>
                <w:rFonts w:cs="Arial"/>
                <w:sz w:val="24"/>
                <w:szCs w:val="24"/>
              </w:rPr>
              <w:t>7</w:t>
            </w:r>
            <w:r w:rsidR="00DB3767" w:rsidRPr="00EB3937">
              <w:rPr>
                <w:rFonts w:cs="Arial"/>
                <w:sz w:val="24"/>
                <w:szCs w:val="24"/>
              </w:rPr>
              <w:t xml:space="preserve"> which incorporates</w:t>
            </w:r>
            <w:r w:rsidR="001B091C" w:rsidRPr="00EB3937">
              <w:rPr>
                <w:rFonts w:cs="Arial"/>
                <w:sz w:val="24"/>
                <w:szCs w:val="24"/>
              </w:rPr>
              <w:t>:</w:t>
            </w:r>
          </w:p>
          <w:p w14:paraId="1E51EA38" w14:textId="77777777" w:rsidR="0056053B" w:rsidRDefault="0056053B" w:rsidP="0056053B">
            <w:pPr>
              <w:pStyle w:val="ListParagraph"/>
              <w:rPr>
                <w:rFonts w:cs="Arial"/>
                <w:sz w:val="24"/>
                <w:szCs w:val="24"/>
              </w:rPr>
            </w:pPr>
          </w:p>
          <w:p w14:paraId="05F01AA1" w14:textId="77777777" w:rsidR="0056053B" w:rsidRPr="0056053B" w:rsidRDefault="0056053B" w:rsidP="0056053B">
            <w:pPr>
              <w:ind w:left="709" w:right="176"/>
              <w:jc w:val="both"/>
              <w:rPr>
                <w:rFonts w:cs="Arial"/>
                <w:sz w:val="24"/>
                <w:szCs w:val="24"/>
              </w:rPr>
            </w:pPr>
            <w:r w:rsidRPr="0056053B">
              <w:rPr>
                <w:rFonts w:cs="Arial"/>
                <w:sz w:val="24"/>
                <w:szCs w:val="24"/>
              </w:rPr>
              <w:t>a)</w:t>
            </w:r>
            <w:r w:rsidRPr="0056053B">
              <w:rPr>
                <w:rFonts w:cs="Arial"/>
                <w:sz w:val="24"/>
                <w:szCs w:val="24"/>
              </w:rPr>
              <w:tab/>
              <w:t>a Treasury Management Strategy.</w:t>
            </w:r>
          </w:p>
          <w:p w14:paraId="673A4A28" w14:textId="77777777" w:rsidR="0056053B" w:rsidRPr="0056053B" w:rsidRDefault="0056053B" w:rsidP="0056053B">
            <w:pPr>
              <w:ind w:left="709" w:right="176"/>
              <w:jc w:val="both"/>
              <w:rPr>
                <w:rFonts w:cs="Arial"/>
                <w:sz w:val="24"/>
                <w:szCs w:val="24"/>
              </w:rPr>
            </w:pPr>
            <w:r w:rsidRPr="0056053B">
              <w:rPr>
                <w:rFonts w:cs="Arial"/>
                <w:sz w:val="24"/>
                <w:szCs w:val="24"/>
              </w:rPr>
              <w:t>b)</w:t>
            </w:r>
            <w:r w:rsidRPr="0056053B">
              <w:rPr>
                <w:rFonts w:cs="Arial"/>
                <w:sz w:val="24"/>
                <w:szCs w:val="24"/>
              </w:rPr>
              <w:tab/>
              <w:t>Capital and Treasury Prudential Indicators, including a Minimum Revenue Provision Policy.</w:t>
            </w:r>
          </w:p>
          <w:p w14:paraId="423BDF29" w14:textId="77777777" w:rsidR="0056053B" w:rsidRPr="0056053B" w:rsidRDefault="0056053B" w:rsidP="0056053B">
            <w:pPr>
              <w:ind w:left="709" w:right="176"/>
              <w:jc w:val="both"/>
              <w:rPr>
                <w:rFonts w:cs="Arial"/>
                <w:sz w:val="24"/>
                <w:szCs w:val="24"/>
              </w:rPr>
            </w:pPr>
            <w:r w:rsidRPr="0056053B">
              <w:rPr>
                <w:rFonts w:cs="Arial"/>
                <w:sz w:val="24"/>
                <w:szCs w:val="24"/>
              </w:rPr>
              <w:t>c)</w:t>
            </w:r>
            <w:r w:rsidRPr="0056053B">
              <w:rPr>
                <w:rFonts w:cs="Arial"/>
                <w:sz w:val="24"/>
                <w:szCs w:val="24"/>
              </w:rPr>
              <w:tab/>
              <w:t>a Borrowing Strategy.</w:t>
            </w:r>
          </w:p>
          <w:p w14:paraId="0DED00B0" w14:textId="77777777" w:rsidR="0056053B" w:rsidRPr="0056053B" w:rsidRDefault="0056053B" w:rsidP="0056053B">
            <w:pPr>
              <w:ind w:left="709" w:right="176"/>
              <w:jc w:val="both"/>
              <w:rPr>
                <w:rFonts w:cs="Arial"/>
                <w:sz w:val="24"/>
                <w:szCs w:val="24"/>
              </w:rPr>
            </w:pPr>
            <w:r w:rsidRPr="0056053B">
              <w:rPr>
                <w:rFonts w:cs="Arial"/>
                <w:sz w:val="24"/>
                <w:szCs w:val="24"/>
              </w:rPr>
              <w:t>d)</w:t>
            </w:r>
            <w:r w:rsidRPr="0056053B">
              <w:rPr>
                <w:rFonts w:cs="Arial"/>
                <w:sz w:val="24"/>
                <w:szCs w:val="24"/>
              </w:rPr>
              <w:tab/>
              <w:t>an Annual Investment Strategy; and</w:t>
            </w:r>
          </w:p>
          <w:p w14:paraId="77233FC2" w14:textId="58401CC7" w:rsidR="0056053B" w:rsidRDefault="0056053B" w:rsidP="0056053B">
            <w:pPr>
              <w:ind w:left="709" w:right="176"/>
              <w:jc w:val="both"/>
              <w:rPr>
                <w:rFonts w:cs="Arial"/>
                <w:sz w:val="24"/>
                <w:szCs w:val="24"/>
              </w:rPr>
            </w:pPr>
            <w:r w:rsidRPr="0056053B">
              <w:rPr>
                <w:rFonts w:cs="Arial"/>
                <w:sz w:val="24"/>
                <w:szCs w:val="24"/>
              </w:rPr>
              <w:t>e)</w:t>
            </w:r>
            <w:r w:rsidRPr="0056053B">
              <w:rPr>
                <w:rFonts w:cs="Arial"/>
                <w:sz w:val="24"/>
                <w:szCs w:val="24"/>
              </w:rPr>
              <w:tab/>
              <w:t>a Capital Strategy.</w:t>
            </w:r>
          </w:p>
          <w:p w14:paraId="1CF0DBE5" w14:textId="77777777" w:rsidR="00F02462" w:rsidRDefault="00F02462" w:rsidP="00F02462">
            <w:pPr>
              <w:pStyle w:val="ListParagraph"/>
              <w:rPr>
                <w:rFonts w:cs="Arial"/>
                <w:sz w:val="24"/>
                <w:szCs w:val="24"/>
              </w:rPr>
            </w:pPr>
          </w:p>
          <w:p w14:paraId="30007763" w14:textId="2FBA55CE" w:rsidR="00F02462" w:rsidRPr="00F02462" w:rsidRDefault="00F02462" w:rsidP="00F716B0">
            <w:pPr>
              <w:numPr>
                <w:ilvl w:val="1"/>
                <w:numId w:val="2"/>
              </w:numPr>
              <w:ind w:left="709" w:right="176" w:hanging="709"/>
              <w:jc w:val="both"/>
              <w:rPr>
                <w:rFonts w:cs="Arial"/>
                <w:sz w:val="24"/>
                <w:szCs w:val="24"/>
              </w:rPr>
            </w:pPr>
            <w:r>
              <w:rPr>
                <w:rFonts w:cs="Arial"/>
                <w:sz w:val="24"/>
                <w:szCs w:val="24"/>
              </w:rPr>
              <w:t>The references within this document to ‘Authority’ therefore relate to the Fire Service operating within the Mayoral Combined Authority and do not refer to an</w:t>
            </w:r>
            <w:r w:rsidR="0056053B">
              <w:rPr>
                <w:rFonts w:cs="Arial"/>
                <w:sz w:val="24"/>
                <w:szCs w:val="24"/>
              </w:rPr>
              <w:t>d/or</w:t>
            </w:r>
            <w:r>
              <w:rPr>
                <w:rFonts w:cs="Arial"/>
                <w:sz w:val="24"/>
                <w:szCs w:val="24"/>
              </w:rPr>
              <w:t xml:space="preserve"> relate to either the Policing budget </w:t>
            </w:r>
            <w:r w:rsidR="0056053B">
              <w:rPr>
                <w:rFonts w:cs="Arial"/>
                <w:sz w:val="24"/>
                <w:szCs w:val="24"/>
              </w:rPr>
              <w:t>or</w:t>
            </w:r>
            <w:r>
              <w:rPr>
                <w:rFonts w:cs="Arial"/>
                <w:sz w:val="24"/>
                <w:szCs w:val="24"/>
              </w:rPr>
              <w:t xml:space="preserve"> the ‘wider’ Mayoral Budget</w:t>
            </w:r>
          </w:p>
          <w:p w14:paraId="7BDC6DD8" w14:textId="77777777" w:rsidR="001B091C" w:rsidRPr="001533EE" w:rsidRDefault="001B091C" w:rsidP="001B091C">
            <w:pPr>
              <w:ind w:left="360" w:right="176"/>
              <w:jc w:val="both"/>
              <w:rPr>
                <w:rFonts w:cs="Arial"/>
                <w:sz w:val="24"/>
                <w:szCs w:val="24"/>
              </w:rPr>
            </w:pPr>
          </w:p>
          <w:p w14:paraId="10244B99" w14:textId="77777777" w:rsidR="00F02462" w:rsidRDefault="00F02462" w:rsidP="00F02462">
            <w:pPr>
              <w:ind w:left="780" w:right="176"/>
              <w:jc w:val="both"/>
              <w:rPr>
                <w:rFonts w:cs="Arial"/>
                <w:sz w:val="24"/>
                <w:szCs w:val="24"/>
              </w:rPr>
            </w:pPr>
          </w:p>
          <w:p w14:paraId="54F0C16F" w14:textId="77777777" w:rsidR="0056053B" w:rsidRDefault="0056053B" w:rsidP="00F02462">
            <w:pPr>
              <w:ind w:left="780" w:right="176"/>
              <w:jc w:val="both"/>
              <w:rPr>
                <w:rFonts w:cs="Arial"/>
                <w:sz w:val="24"/>
                <w:szCs w:val="24"/>
              </w:rPr>
            </w:pPr>
          </w:p>
          <w:p w14:paraId="433CF75D" w14:textId="77777777" w:rsidR="0056053B" w:rsidRPr="001533EE" w:rsidRDefault="0056053B" w:rsidP="00F02462">
            <w:pPr>
              <w:ind w:left="780" w:right="176"/>
              <w:jc w:val="both"/>
              <w:rPr>
                <w:rFonts w:cs="Arial"/>
                <w:sz w:val="24"/>
                <w:szCs w:val="24"/>
              </w:rPr>
            </w:pPr>
          </w:p>
          <w:p w14:paraId="12EEBED9" w14:textId="77777777" w:rsidR="00895B42" w:rsidRPr="001533EE" w:rsidRDefault="00895B42" w:rsidP="00895B42">
            <w:pPr>
              <w:ind w:left="780" w:right="176"/>
              <w:jc w:val="both"/>
              <w:rPr>
                <w:rFonts w:cs="Arial"/>
                <w:sz w:val="24"/>
                <w:szCs w:val="24"/>
              </w:rPr>
            </w:pPr>
          </w:p>
        </w:tc>
      </w:tr>
    </w:tbl>
    <w:p w14:paraId="161B2988" w14:textId="77777777" w:rsidR="0094117D" w:rsidRDefault="0094117D" w:rsidP="005665CB">
      <w:pPr>
        <w:ind w:left="709" w:hanging="709"/>
        <w:jc w:val="both"/>
        <w:rPr>
          <w:rFonts w:cs="Arial"/>
          <w:sz w:val="24"/>
          <w:szCs w:val="24"/>
        </w:rPr>
      </w:pPr>
    </w:p>
    <w:p w14:paraId="41E9CBE7" w14:textId="77777777" w:rsidR="00EB3937" w:rsidRPr="001533EE" w:rsidRDefault="00EB3937" w:rsidP="005665CB">
      <w:pPr>
        <w:ind w:left="709" w:hanging="709"/>
        <w:jc w:val="both"/>
        <w:rPr>
          <w:rFonts w:cs="Arial"/>
          <w:sz w:val="24"/>
          <w:szCs w:val="24"/>
        </w:rPr>
      </w:pPr>
    </w:p>
    <w:p w14:paraId="2B151036" w14:textId="77777777" w:rsidR="00F840AE" w:rsidRPr="001533EE" w:rsidRDefault="00F840AE" w:rsidP="005665CB">
      <w:pPr>
        <w:ind w:left="709" w:hanging="709"/>
        <w:jc w:val="both"/>
        <w:rPr>
          <w:rFonts w:cs="Arial"/>
          <w:sz w:val="24"/>
          <w:szCs w:val="24"/>
        </w:rPr>
      </w:pPr>
    </w:p>
    <w:p w14:paraId="621BBE3C" w14:textId="0CA9DD38" w:rsidR="004C5EA0" w:rsidRPr="001533EE" w:rsidRDefault="004C5EA0" w:rsidP="005665CB">
      <w:pPr>
        <w:ind w:left="709" w:hanging="709"/>
        <w:jc w:val="both"/>
        <w:rPr>
          <w:rFonts w:cs="Arial"/>
          <w:b/>
          <w:sz w:val="24"/>
          <w:szCs w:val="24"/>
        </w:rPr>
      </w:pPr>
      <w:r w:rsidRPr="001533EE">
        <w:rPr>
          <w:rFonts w:cs="Arial"/>
          <w:b/>
          <w:sz w:val="24"/>
          <w:szCs w:val="24"/>
        </w:rPr>
        <w:lastRenderedPageBreak/>
        <w:t>2.</w:t>
      </w:r>
      <w:r w:rsidR="00660DEE" w:rsidRPr="001533EE">
        <w:rPr>
          <w:rFonts w:cs="Arial"/>
          <w:b/>
          <w:sz w:val="24"/>
          <w:szCs w:val="24"/>
        </w:rPr>
        <w:t>0</w:t>
      </w:r>
      <w:r w:rsidRPr="001533EE">
        <w:rPr>
          <w:rFonts w:cs="Arial"/>
          <w:b/>
          <w:sz w:val="24"/>
          <w:szCs w:val="24"/>
        </w:rPr>
        <w:tab/>
      </w:r>
      <w:r w:rsidR="0031047C" w:rsidRPr="001533EE">
        <w:rPr>
          <w:rFonts w:cs="Arial"/>
          <w:b/>
          <w:sz w:val="24"/>
          <w:szCs w:val="24"/>
        </w:rPr>
        <w:t>INTRODUCTION AND CONTEXT</w:t>
      </w:r>
    </w:p>
    <w:p w14:paraId="5D5DDCBC" w14:textId="77777777" w:rsidR="001204E1" w:rsidRPr="001533EE" w:rsidRDefault="001204E1" w:rsidP="005665CB">
      <w:pPr>
        <w:ind w:left="709" w:hanging="709"/>
        <w:jc w:val="both"/>
        <w:rPr>
          <w:rFonts w:cs="Arial"/>
          <w:sz w:val="24"/>
          <w:szCs w:val="24"/>
        </w:rPr>
      </w:pPr>
    </w:p>
    <w:p w14:paraId="5C59E12C" w14:textId="48E0961B" w:rsidR="007F41A2" w:rsidRPr="001533EE" w:rsidRDefault="001204E1" w:rsidP="007F41A2">
      <w:pPr>
        <w:ind w:left="709" w:hanging="709"/>
        <w:jc w:val="both"/>
        <w:rPr>
          <w:rFonts w:cs="Arial"/>
          <w:sz w:val="24"/>
          <w:szCs w:val="24"/>
        </w:rPr>
      </w:pPr>
      <w:r w:rsidRPr="001533EE">
        <w:rPr>
          <w:rFonts w:cs="Arial"/>
          <w:sz w:val="24"/>
          <w:szCs w:val="24"/>
        </w:rPr>
        <w:t>2.1</w:t>
      </w:r>
      <w:r w:rsidRPr="001533EE">
        <w:rPr>
          <w:rFonts w:cs="Arial"/>
          <w:sz w:val="24"/>
          <w:szCs w:val="24"/>
        </w:rPr>
        <w:tab/>
      </w:r>
      <w:r w:rsidR="007F41A2" w:rsidRPr="001533EE">
        <w:rPr>
          <w:rFonts w:cs="Arial"/>
          <w:sz w:val="24"/>
          <w:szCs w:val="24"/>
        </w:rPr>
        <w:t xml:space="preserve">Treasury </w:t>
      </w:r>
      <w:r w:rsidR="00672E77" w:rsidRPr="001533EE">
        <w:rPr>
          <w:rFonts w:cs="Arial"/>
          <w:sz w:val="24"/>
          <w:szCs w:val="24"/>
        </w:rPr>
        <w:t>M</w:t>
      </w:r>
      <w:r w:rsidR="007F41A2" w:rsidRPr="001533EE">
        <w:rPr>
          <w:rFonts w:cs="Arial"/>
          <w:sz w:val="24"/>
          <w:szCs w:val="24"/>
        </w:rPr>
        <w:t>anagement is defined as ‘the management of the local authority’s investments and cash flows, its banking, money market and capital market transactions, the effective control of the risks associated with those activities and the pursuit of optimum performance consistent with those risks’.</w:t>
      </w:r>
    </w:p>
    <w:p w14:paraId="4CAFC0F4" w14:textId="77777777" w:rsidR="007F41A2" w:rsidRPr="001533EE" w:rsidRDefault="007F41A2" w:rsidP="007F41A2">
      <w:pPr>
        <w:ind w:left="709" w:hanging="709"/>
        <w:jc w:val="both"/>
        <w:rPr>
          <w:rFonts w:cs="Arial"/>
          <w:sz w:val="24"/>
          <w:szCs w:val="24"/>
        </w:rPr>
      </w:pPr>
    </w:p>
    <w:p w14:paraId="6165CA26" w14:textId="41403ED9" w:rsidR="007F41A2" w:rsidRPr="001533EE" w:rsidRDefault="007F41A2" w:rsidP="007F41A2">
      <w:pPr>
        <w:ind w:left="709" w:hanging="709"/>
        <w:jc w:val="both"/>
        <w:rPr>
          <w:rFonts w:cs="Arial"/>
          <w:sz w:val="24"/>
          <w:szCs w:val="24"/>
        </w:rPr>
      </w:pPr>
      <w:r w:rsidRPr="001533EE">
        <w:rPr>
          <w:rFonts w:cs="Arial"/>
          <w:sz w:val="24"/>
          <w:szCs w:val="24"/>
        </w:rPr>
        <w:t>2.2</w:t>
      </w:r>
      <w:r w:rsidRPr="001533EE">
        <w:rPr>
          <w:rFonts w:cs="Arial"/>
          <w:sz w:val="24"/>
          <w:szCs w:val="24"/>
        </w:rPr>
        <w:tab/>
      </w:r>
      <w:r w:rsidR="00D00A65" w:rsidRPr="001533EE">
        <w:rPr>
          <w:rFonts w:cs="Arial"/>
          <w:sz w:val="24"/>
          <w:szCs w:val="24"/>
        </w:rPr>
        <w:t>The</w:t>
      </w:r>
      <w:r w:rsidR="001D3321" w:rsidRPr="001533EE">
        <w:rPr>
          <w:rFonts w:cs="Arial"/>
          <w:sz w:val="24"/>
          <w:szCs w:val="24"/>
        </w:rPr>
        <w:t xml:space="preserve"> Authority is required to operate a balanced budget, which broadly means that cash raised during the year will meet cash expenditure. Part of the treasury management operation is to ensure that this cash flow is adequately planned, with cash being available when needed </w:t>
      </w:r>
      <w:r w:rsidRPr="001533EE">
        <w:rPr>
          <w:rFonts w:cs="Arial"/>
          <w:sz w:val="24"/>
          <w:szCs w:val="24"/>
        </w:rPr>
        <w:t>with surplus monies being invested in low-risk counterparties, with the main aims of providing sufficient liquidity and security, with the achievement of the best possible investment returns ranking as less important.</w:t>
      </w:r>
    </w:p>
    <w:p w14:paraId="5178F22A" w14:textId="77777777" w:rsidR="0034610D" w:rsidRPr="001533EE" w:rsidRDefault="0034610D" w:rsidP="007F41A2">
      <w:pPr>
        <w:jc w:val="both"/>
        <w:rPr>
          <w:rFonts w:cs="Arial"/>
          <w:color w:val="FF0000"/>
          <w:sz w:val="24"/>
          <w:szCs w:val="24"/>
        </w:rPr>
      </w:pPr>
    </w:p>
    <w:p w14:paraId="7613D2E8" w14:textId="79D36C03" w:rsidR="007F41A2" w:rsidRPr="001533EE" w:rsidRDefault="0034610D" w:rsidP="007F41A2">
      <w:pPr>
        <w:ind w:left="709" w:hanging="709"/>
        <w:jc w:val="both"/>
        <w:rPr>
          <w:rFonts w:cs="Arial"/>
          <w:sz w:val="24"/>
          <w:szCs w:val="24"/>
        </w:rPr>
      </w:pPr>
      <w:r w:rsidRPr="001533EE">
        <w:rPr>
          <w:rFonts w:cs="Arial"/>
          <w:sz w:val="24"/>
          <w:szCs w:val="24"/>
        </w:rPr>
        <w:t>2.</w:t>
      </w:r>
      <w:r w:rsidR="007F41A2" w:rsidRPr="001533EE">
        <w:rPr>
          <w:rFonts w:cs="Arial"/>
          <w:sz w:val="24"/>
          <w:szCs w:val="24"/>
        </w:rPr>
        <w:t>3</w:t>
      </w:r>
      <w:r w:rsidRPr="001533EE">
        <w:rPr>
          <w:rFonts w:cs="Arial"/>
          <w:color w:val="FF0000"/>
          <w:sz w:val="24"/>
          <w:szCs w:val="24"/>
        </w:rPr>
        <w:tab/>
      </w:r>
      <w:r w:rsidRPr="001533EE">
        <w:rPr>
          <w:rFonts w:cs="Arial"/>
          <w:sz w:val="24"/>
          <w:szCs w:val="24"/>
        </w:rPr>
        <w:t>The second main function of the treasury management service is the funding of the Authority’s capital plans</w:t>
      </w:r>
      <w:r w:rsidR="007F41A2" w:rsidRPr="001533EE">
        <w:rPr>
          <w:rFonts w:cs="Arial"/>
          <w:sz w:val="24"/>
          <w:szCs w:val="24"/>
        </w:rPr>
        <w:t xml:space="preserve"> which will support the provision of services. The capital programme provides a guide to the borrowing need of the Authority, and there needs to be longer term cash flow planning to ensure capital spending requirements can be met. The management of longer-term cash may involve arranging long or short-term loans, utilising longer term cash flow surpluses and, occasionally, debt restructuring to meet Authority risk or cost objectives.</w:t>
      </w:r>
    </w:p>
    <w:p w14:paraId="686D6511" w14:textId="77777777" w:rsidR="00487776" w:rsidRPr="001533EE" w:rsidRDefault="00487776" w:rsidP="007F41A2">
      <w:pPr>
        <w:jc w:val="both"/>
        <w:rPr>
          <w:rFonts w:cs="Arial"/>
          <w:sz w:val="24"/>
          <w:szCs w:val="24"/>
        </w:rPr>
      </w:pPr>
    </w:p>
    <w:p w14:paraId="6BF08BF7" w14:textId="1E4BCA89" w:rsidR="007F41A2" w:rsidRPr="001533EE" w:rsidRDefault="00487776" w:rsidP="007F41A2">
      <w:pPr>
        <w:pStyle w:val="ListParagraph"/>
        <w:ind w:left="709" w:hanging="709"/>
        <w:jc w:val="both"/>
        <w:rPr>
          <w:rFonts w:cs="Arial"/>
          <w:sz w:val="24"/>
          <w:szCs w:val="24"/>
        </w:rPr>
      </w:pPr>
      <w:r w:rsidRPr="001533EE">
        <w:rPr>
          <w:rFonts w:cs="Arial"/>
          <w:sz w:val="24"/>
          <w:szCs w:val="24"/>
        </w:rPr>
        <w:t>2.4</w:t>
      </w:r>
      <w:r w:rsidRPr="001533EE">
        <w:rPr>
          <w:rFonts w:cs="Arial"/>
          <w:sz w:val="24"/>
          <w:szCs w:val="24"/>
        </w:rPr>
        <w:tab/>
        <w:t>North Yorkshire Council</w:t>
      </w:r>
      <w:r w:rsidR="00437F88" w:rsidRPr="001533EE">
        <w:rPr>
          <w:rFonts w:cs="Arial"/>
          <w:sz w:val="24"/>
          <w:szCs w:val="24"/>
        </w:rPr>
        <w:t xml:space="preserve"> </w:t>
      </w:r>
      <w:r w:rsidRPr="001533EE">
        <w:rPr>
          <w:rFonts w:cs="Arial"/>
          <w:sz w:val="24"/>
          <w:szCs w:val="24"/>
        </w:rPr>
        <w:t>provides</w:t>
      </w:r>
      <w:r w:rsidR="00117F4F">
        <w:rPr>
          <w:rFonts w:cs="Arial"/>
          <w:sz w:val="24"/>
          <w:szCs w:val="24"/>
        </w:rPr>
        <w:t xml:space="preserve"> some of the </w:t>
      </w:r>
      <w:r w:rsidRPr="001533EE">
        <w:rPr>
          <w:rFonts w:cs="Arial"/>
          <w:sz w:val="24"/>
          <w:szCs w:val="24"/>
        </w:rPr>
        <w:t xml:space="preserve">Authority’s </w:t>
      </w:r>
      <w:r w:rsidR="00672E77" w:rsidRPr="001533EE">
        <w:rPr>
          <w:rFonts w:cs="Arial"/>
          <w:sz w:val="24"/>
          <w:szCs w:val="24"/>
        </w:rPr>
        <w:t>t</w:t>
      </w:r>
      <w:r w:rsidRPr="001533EE">
        <w:rPr>
          <w:rFonts w:cs="Arial"/>
          <w:sz w:val="24"/>
          <w:szCs w:val="24"/>
        </w:rPr>
        <w:t xml:space="preserve">reasury </w:t>
      </w:r>
      <w:r w:rsidR="009E0C14" w:rsidRPr="001533EE">
        <w:rPr>
          <w:rFonts w:cs="Arial"/>
          <w:sz w:val="24"/>
          <w:szCs w:val="24"/>
        </w:rPr>
        <w:t>management</w:t>
      </w:r>
      <w:r w:rsidRPr="001533EE">
        <w:rPr>
          <w:rFonts w:cs="Arial"/>
          <w:sz w:val="24"/>
          <w:szCs w:val="24"/>
        </w:rPr>
        <w:t xml:space="preserve"> arrangements under the terms of </w:t>
      </w:r>
      <w:r w:rsidR="007F41A2" w:rsidRPr="001533EE">
        <w:rPr>
          <w:rFonts w:cs="Arial"/>
          <w:sz w:val="24"/>
          <w:szCs w:val="24"/>
        </w:rPr>
        <w:t>a</w:t>
      </w:r>
      <w:r w:rsidRPr="001533EE">
        <w:rPr>
          <w:rFonts w:cs="Arial"/>
          <w:sz w:val="24"/>
          <w:szCs w:val="24"/>
        </w:rPr>
        <w:t xml:space="preserve"> Service Level Agreement</w:t>
      </w:r>
      <w:r w:rsidR="007F41A2" w:rsidRPr="001533EE">
        <w:rPr>
          <w:rFonts w:cs="Arial"/>
          <w:sz w:val="24"/>
          <w:szCs w:val="24"/>
        </w:rPr>
        <w:t xml:space="preserve">. </w:t>
      </w:r>
      <w:r w:rsidRPr="001533EE">
        <w:rPr>
          <w:rFonts w:cs="Arial"/>
          <w:sz w:val="24"/>
          <w:szCs w:val="24"/>
        </w:rPr>
        <w:t xml:space="preserve">  </w:t>
      </w:r>
      <w:r w:rsidR="007F41A2" w:rsidRPr="001533EE">
        <w:rPr>
          <w:rFonts w:cs="Arial"/>
          <w:sz w:val="24"/>
          <w:szCs w:val="24"/>
        </w:rPr>
        <w:t xml:space="preserve">Under this agreement the Council is required to comply with the terms of the Authority’s approved Annual Treasury Management Policy Statement and Annual Treasury Management and Investment Strategy.  This includes providing advice to the Authority on any necessary changes required at the time of annually updating these documents. </w:t>
      </w:r>
    </w:p>
    <w:p w14:paraId="526D8B70" w14:textId="77777777" w:rsidR="0031047C" w:rsidRPr="001533EE" w:rsidRDefault="0031047C" w:rsidP="007F41A2">
      <w:pPr>
        <w:pStyle w:val="ListParagraph"/>
        <w:ind w:left="709" w:hanging="709"/>
        <w:jc w:val="both"/>
        <w:rPr>
          <w:rFonts w:cs="Arial"/>
          <w:sz w:val="24"/>
          <w:szCs w:val="24"/>
        </w:rPr>
      </w:pPr>
    </w:p>
    <w:p w14:paraId="6BBBD5B7" w14:textId="3F4E41CA" w:rsidR="00FF6976" w:rsidRPr="001533EE" w:rsidRDefault="00487776" w:rsidP="00FF6976">
      <w:pPr>
        <w:ind w:left="709" w:hanging="709"/>
        <w:jc w:val="both"/>
        <w:rPr>
          <w:rFonts w:cs="Arial"/>
          <w:sz w:val="24"/>
          <w:szCs w:val="24"/>
        </w:rPr>
      </w:pPr>
      <w:r w:rsidRPr="001533EE">
        <w:rPr>
          <w:rFonts w:cs="Arial"/>
          <w:sz w:val="24"/>
          <w:szCs w:val="24"/>
        </w:rPr>
        <w:t>2.5</w:t>
      </w:r>
      <w:r w:rsidRPr="001533EE">
        <w:rPr>
          <w:rFonts w:cs="Arial"/>
          <w:color w:val="FF0000"/>
          <w:sz w:val="24"/>
          <w:szCs w:val="24"/>
        </w:rPr>
        <w:tab/>
      </w:r>
      <w:r w:rsidR="00FF6976" w:rsidRPr="001533EE">
        <w:rPr>
          <w:rFonts w:cs="Arial"/>
          <w:sz w:val="24"/>
          <w:szCs w:val="24"/>
        </w:rPr>
        <w:t xml:space="preserve">The Authority adopts the latest CIPFA Code of Practice on Treasury Management (the Code) which is regarded as best practice in ensuring adequate monitoring of its capital expenditure plans and its Prudential Indicators. </w:t>
      </w:r>
    </w:p>
    <w:p w14:paraId="62F4DAE6" w14:textId="77777777" w:rsidR="00487776" w:rsidRPr="001533EE" w:rsidRDefault="00487776" w:rsidP="00487776">
      <w:pPr>
        <w:pStyle w:val="ListParagraph"/>
        <w:ind w:left="709" w:hanging="709"/>
        <w:jc w:val="both"/>
        <w:rPr>
          <w:rFonts w:cs="Arial"/>
          <w:color w:val="FF0000"/>
          <w:sz w:val="24"/>
          <w:szCs w:val="24"/>
        </w:rPr>
      </w:pPr>
    </w:p>
    <w:p w14:paraId="667E918E" w14:textId="14808F0C" w:rsidR="00487776" w:rsidRPr="001533EE" w:rsidRDefault="00487776" w:rsidP="00487776">
      <w:pPr>
        <w:ind w:left="709" w:hanging="709"/>
        <w:jc w:val="both"/>
        <w:rPr>
          <w:rFonts w:cs="Arial"/>
          <w:sz w:val="24"/>
          <w:szCs w:val="24"/>
        </w:rPr>
      </w:pPr>
      <w:r w:rsidRPr="001533EE">
        <w:rPr>
          <w:rFonts w:cs="Arial"/>
          <w:sz w:val="24"/>
          <w:szCs w:val="24"/>
        </w:rPr>
        <w:t>2.6</w:t>
      </w:r>
      <w:r w:rsidRPr="001533EE">
        <w:rPr>
          <w:rFonts w:cs="Arial"/>
          <w:color w:val="FF0000"/>
          <w:sz w:val="24"/>
          <w:szCs w:val="24"/>
        </w:rPr>
        <w:tab/>
      </w:r>
      <w:bookmarkStart w:id="2" w:name="_Hlk125447113"/>
      <w:r w:rsidRPr="001533EE">
        <w:rPr>
          <w:rFonts w:cs="Arial"/>
          <w:sz w:val="24"/>
          <w:szCs w:val="24"/>
        </w:rPr>
        <w:t xml:space="preserve">The Authority is currently forecasting year end cash balances in the order of </w:t>
      </w:r>
      <w:r w:rsidR="00412EBE" w:rsidRPr="00B55944">
        <w:rPr>
          <w:rFonts w:cs="Arial"/>
          <w:sz w:val="24"/>
          <w:szCs w:val="24"/>
        </w:rPr>
        <w:t>£</w:t>
      </w:r>
      <w:r w:rsidR="005406BE" w:rsidRPr="00B55944">
        <w:rPr>
          <w:rFonts w:cs="Arial"/>
          <w:sz w:val="24"/>
          <w:szCs w:val="24"/>
        </w:rPr>
        <w:t>2</w:t>
      </w:r>
      <w:r w:rsidR="00B55944" w:rsidRPr="00B55944">
        <w:rPr>
          <w:rFonts w:cs="Arial"/>
          <w:sz w:val="24"/>
          <w:szCs w:val="24"/>
        </w:rPr>
        <w:t>5.7</w:t>
      </w:r>
      <w:r w:rsidR="00916DFB" w:rsidRPr="00B55944">
        <w:rPr>
          <w:rFonts w:cs="Arial"/>
          <w:sz w:val="24"/>
          <w:szCs w:val="24"/>
        </w:rPr>
        <w:t>m</w:t>
      </w:r>
      <w:r w:rsidR="00031025" w:rsidRPr="00B55944">
        <w:rPr>
          <w:rFonts w:cs="Arial"/>
          <w:sz w:val="24"/>
          <w:szCs w:val="24"/>
        </w:rPr>
        <w:t xml:space="preserve"> </w:t>
      </w:r>
      <w:proofErr w:type="gramStart"/>
      <w:r w:rsidRPr="00B55944">
        <w:rPr>
          <w:rFonts w:cs="Arial"/>
          <w:sz w:val="24"/>
          <w:szCs w:val="24"/>
        </w:rPr>
        <w:t>at</w:t>
      </w:r>
      <w:proofErr w:type="gramEnd"/>
      <w:r w:rsidRPr="00B55944">
        <w:rPr>
          <w:rFonts w:cs="Arial"/>
          <w:sz w:val="24"/>
          <w:szCs w:val="24"/>
        </w:rPr>
        <w:t xml:space="preserve"> 31</w:t>
      </w:r>
      <w:r w:rsidRPr="00B55944">
        <w:rPr>
          <w:rFonts w:cs="Arial"/>
          <w:sz w:val="24"/>
          <w:szCs w:val="24"/>
          <w:vertAlign w:val="superscript"/>
        </w:rPr>
        <w:t>st</w:t>
      </w:r>
      <w:r w:rsidRPr="00B55944">
        <w:rPr>
          <w:rFonts w:cs="Arial"/>
          <w:sz w:val="24"/>
          <w:szCs w:val="24"/>
        </w:rPr>
        <w:t xml:space="preserve"> March 20</w:t>
      </w:r>
      <w:r w:rsidR="00F241E9" w:rsidRPr="00B55944">
        <w:rPr>
          <w:rFonts w:cs="Arial"/>
          <w:sz w:val="24"/>
          <w:szCs w:val="24"/>
        </w:rPr>
        <w:t>2</w:t>
      </w:r>
      <w:r w:rsidR="005406BE" w:rsidRPr="00B55944">
        <w:rPr>
          <w:rFonts w:cs="Arial"/>
          <w:sz w:val="24"/>
          <w:szCs w:val="24"/>
        </w:rPr>
        <w:t>6</w:t>
      </w:r>
      <w:r w:rsidR="00786C9C" w:rsidRPr="00B55944">
        <w:rPr>
          <w:rFonts w:cs="Arial"/>
          <w:sz w:val="24"/>
          <w:szCs w:val="24"/>
        </w:rPr>
        <w:t>)</w:t>
      </w:r>
      <w:r w:rsidRPr="00B55944">
        <w:rPr>
          <w:rFonts w:cs="Arial"/>
          <w:sz w:val="24"/>
          <w:szCs w:val="24"/>
        </w:rPr>
        <w:t>.</w:t>
      </w:r>
      <w:r w:rsidRPr="001533EE">
        <w:rPr>
          <w:rFonts w:cs="Arial"/>
          <w:sz w:val="24"/>
          <w:szCs w:val="24"/>
        </w:rPr>
        <w:t xml:space="preserve"> The magnitude of </w:t>
      </w:r>
      <w:r w:rsidR="005406BE">
        <w:rPr>
          <w:rFonts w:cs="Arial"/>
          <w:sz w:val="24"/>
          <w:szCs w:val="24"/>
        </w:rPr>
        <w:t xml:space="preserve">balances </w:t>
      </w:r>
      <w:r w:rsidRPr="001533EE">
        <w:rPr>
          <w:rFonts w:cs="Arial"/>
          <w:sz w:val="24"/>
          <w:szCs w:val="24"/>
        </w:rPr>
        <w:t>available for investment reinforces the importance of having robust Treasury Management strategies and polices.</w:t>
      </w:r>
    </w:p>
    <w:bookmarkEnd w:id="2"/>
    <w:p w14:paraId="101F2AD4" w14:textId="77777777" w:rsidR="00557849" w:rsidRPr="001533EE" w:rsidRDefault="00557849" w:rsidP="0067711E">
      <w:pPr>
        <w:jc w:val="both"/>
        <w:rPr>
          <w:rFonts w:cs="Arial"/>
          <w:sz w:val="24"/>
          <w:szCs w:val="24"/>
        </w:rPr>
      </w:pPr>
    </w:p>
    <w:p w14:paraId="16BACA4E" w14:textId="52882105" w:rsidR="00557849" w:rsidRPr="001533EE" w:rsidRDefault="00557849" w:rsidP="00653075">
      <w:pPr>
        <w:pStyle w:val="ListParagraph"/>
        <w:ind w:left="709" w:hanging="709"/>
        <w:jc w:val="both"/>
        <w:rPr>
          <w:rFonts w:cs="Arial"/>
          <w:sz w:val="24"/>
          <w:szCs w:val="24"/>
        </w:rPr>
      </w:pPr>
      <w:r w:rsidRPr="001533EE">
        <w:rPr>
          <w:rFonts w:cs="Arial"/>
          <w:sz w:val="24"/>
          <w:szCs w:val="24"/>
        </w:rPr>
        <w:t>2.</w:t>
      </w:r>
      <w:r w:rsidR="00FF6976" w:rsidRPr="001533EE">
        <w:rPr>
          <w:rFonts w:cs="Arial"/>
          <w:sz w:val="24"/>
          <w:szCs w:val="24"/>
        </w:rPr>
        <w:t>7</w:t>
      </w:r>
      <w:r w:rsidRPr="001533EE">
        <w:rPr>
          <w:rFonts w:cs="Arial"/>
          <w:sz w:val="24"/>
          <w:szCs w:val="24"/>
        </w:rPr>
        <w:tab/>
        <w:t xml:space="preserve">The Capital Programme </w:t>
      </w:r>
      <w:r w:rsidR="008742F9" w:rsidRPr="001533EE">
        <w:rPr>
          <w:rFonts w:cs="Arial"/>
          <w:sz w:val="24"/>
          <w:szCs w:val="24"/>
        </w:rPr>
        <w:t>is regularly reviewed and t</w:t>
      </w:r>
      <w:r w:rsidRPr="001533EE">
        <w:rPr>
          <w:rFonts w:cs="Arial"/>
          <w:sz w:val="24"/>
          <w:szCs w:val="24"/>
        </w:rPr>
        <w:t xml:space="preserve">here continues to be acknowledgement that there are significant areas of the Fire Estate and the equipment used within the service that require update. </w:t>
      </w:r>
    </w:p>
    <w:p w14:paraId="6010878F" w14:textId="752D6212" w:rsidR="00FF6976" w:rsidRPr="001533EE" w:rsidRDefault="00FF6976" w:rsidP="008742F9">
      <w:pPr>
        <w:pStyle w:val="ListParagraph"/>
        <w:ind w:left="709" w:hanging="709"/>
        <w:jc w:val="both"/>
        <w:rPr>
          <w:rFonts w:cs="Arial"/>
          <w:sz w:val="24"/>
          <w:szCs w:val="24"/>
          <w:highlight w:val="yellow"/>
        </w:rPr>
      </w:pPr>
    </w:p>
    <w:p w14:paraId="082B46BD" w14:textId="50C48F8B" w:rsidR="00557849" w:rsidRPr="001533EE" w:rsidRDefault="00FF6976" w:rsidP="00FF6976">
      <w:pPr>
        <w:pStyle w:val="ListParagraph"/>
        <w:ind w:left="709" w:hanging="709"/>
        <w:jc w:val="both"/>
        <w:rPr>
          <w:rFonts w:cs="Arial"/>
          <w:sz w:val="24"/>
          <w:szCs w:val="24"/>
        </w:rPr>
      </w:pPr>
      <w:r w:rsidRPr="001533EE">
        <w:rPr>
          <w:rFonts w:eastAsia="Arial Unicode MS" w:cs="Arial"/>
          <w:sz w:val="24"/>
          <w:szCs w:val="24"/>
        </w:rPr>
        <w:t>2.8</w:t>
      </w:r>
      <w:r w:rsidRPr="001533EE">
        <w:rPr>
          <w:rFonts w:eastAsia="Arial Unicode MS" w:cs="Arial"/>
          <w:sz w:val="24"/>
          <w:szCs w:val="24"/>
        </w:rPr>
        <w:tab/>
      </w:r>
      <w:r w:rsidR="001C4555" w:rsidRPr="001533EE">
        <w:rPr>
          <w:rFonts w:eastAsia="Arial Unicode MS" w:cs="Arial"/>
          <w:sz w:val="24"/>
          <w:szCs w:val="24"/>
        </w:rPr>
        <w:t xml:space="preserve">The Capital Programme includes </w:t>
      </w:r>
      <w:r w:rsidR="001C4555" w:rsidRPr="00EB3937">
        <w:rPr>
          <w:rFonts w:eastAsia="Arial Unicode MS" w:cs="Arial"/>
          <w:sz w:val="24"/>
          <w:szCs w:val="24"/>
        </w:rPr>
        <w:t>around £1</w:t>
      </w:r>
      <w:r w:rsidR="00243B34" w:rsidRPr="00EB3937">
        <w:rPr>
          <w:rFonts w:eastAsia="Arial Unicode MS" w:cs="Arial"/>
          <w:sz w:val="24"/>
          <w:szCs w:val="24"/>
        </w:rPr>
        <w:t>4</w:t>
      </w:r>
      <w:r w:rsidR="001C4555" w:rsidRPr="00EB3937">
        <w:rPr>
          <w:rFonts w:eastAsia="Arial Unicode MS" w:cs="Arial"/>
          <w:sz w:val="24"/>
          <w:szCs w:val="24"/>
        </w:rPr>
        <w:t>m for</w:t>
      </w:r>
      <w:r w:rsidR="001C4555" w:rsidRPr="001533EE">
        <w:rPr>
          <w:rFonts w:eastAsia="Arial Unicode MS" w:cs="Arial"/>
          <w:sz w:val="24"/>
          <w:szCs w:val="24"/>
        </w:rPr>
        <w:t xml:space="preserve"> the potential replacement of new stations, approval of any plans will be subject to full business cases and therefore currently do not have approval to commence.</w:t>
      </w:r>
      <w:r w:rsidRPr="001533EE">
        <w:rPr>
          <w:rFonts w:eastAsia="Arial Unicode MS" w:cs="Arial"/>
          <w:sz w:val="24"/>
          <w:szCs w:val="24"/>
        </w:rPr>
        <w:t xml:space="preserve"> </w:t>
      </w:r>
      <w:r w:rsidR="001C4555" w:rsidRPr="001533EE">
        <w:rPr>
          <w:rFonts w:eastAsia="Arial Unicode MS" w:cs="Arial"/>
          <w:sz w:val="24"/>
          <w:szCs w:val="24"/>
        </w:rPr>
        <w:t xml:space="preserve">These plans coincide with the end of the PFI contract in 2027 which </w:t>
      </w:r>
      <w:r w:rsidR="00EB3937">
        <w:rPr>
          <w:rFonts w:eastAsia="Arial Unicode MS" w:cs="Arial"/>
          <w:sz w:val="24"/>
          <w:szCs w:val="24"/>
        </w:rPr>
        <w:t xml:space="preserve">is initially forecast to </w:t>
      </w:r>
      <w:r w:rsidR="001C4555" w:rsidRPr="001533EE">
        <w:rPr>
          <w:rFonts w:eastAsia="Arial Unicode MS" w:cs="Arial"/>
          <w:sz w:val="24"/>
          <w:szCs w:val="24"/>
        </w:rPr>
        <w:t>save £300k per year and can be used to fund the debt charges resulting from borrowing to fund the replacement stations.</w:t>
      </w:r>
    </w:p>
    <w:p w14:paraId="7F456AD7" w14:textId="77777777" w:rsidR="00557849" w:rsidRDefault="00557849" w:rsidP="00557849">
      <w:pPr>
        <w:pStyle w:val="ListParagraph"/>
        <w:rPr>
          <w:rFonts w:cs="Arial"/>
          <w:sz w:val="24"/>
          <w:szCs w:val="24"/>
        </w:rPr>
      </w:pPr>
    </w:p>
    <w:p w14:paraId="1D3818D9" w14:textId="77777777" w:rsidR="00D53D8A" w:rsidRDefault="00D53D8A" w:rsidP="00557849">
      <w:pPr>
        <w:pStyle w:val="ListParagraph"/>
        <w:rPr>
          <w:rFonts w:cs="Arial"/>
          <w:sz w:val="24"/>
          <w:szCs w:val="24"/>
        </w:rPr>
      </w:pPr>
    </w:p>
    <w:p w14:paraId="69E5505B" w14:textId="77777777" w:rsidR="0056053B" w:rsidRDefault="0056053B" w:rsidP="00557849">
      <w:pPr>
        <w:pStyle w:val="ListParagraph"/>
        <w:rPr>
          <w:rFonts w:cs="Arial"/>
          <w:sz w:val="24"/>
          <w:szCs w:val="24"/>
        </w:rPr>
      </w:pPr>
    </w:p>
    <w:p w14:paraId="2DAFA1D3" w14:textId="77777777" w:rsidR="00EB3937" w:rsidRPr="001533EE" w:rsidRDefault="00EB3937" w:rsidP="00557849">
      <w:pPr>
        <w:pStyle w:val="ListParagraph"/>
        <w:rPr>
          <w:rFonts w:cs="Arial"/>
          <w:sz w:val="24"/>
          <w:szCs w:val="24"/>
        </w:rPr>
      </w:pPr>
    </w:p>
    <w:p w14:paraId="751C490F" w14:textId="632DF97E" w:rsidR="007B32A7" w:rsidRPr="001533EE" w:rsidRDefault="00557849" w:rsidP="006A2F03">
      <w:pPr>
        <w:pStyle w:val="ListParagraph"/>
        <w:numPr>
          <w:ilvl w:val="1"/>
          <w:numId w:val="20"/>
        </w:numPr>
        <w:ind w:left="709" w:hanging="709"/>
        <w:jc w:val="both"/>
        <w:rPr>
          <w:rFonts w:cs="Arial"/>
          <w:sz w:val="24"/>
          <w:szCs w:val="24"/>
        </w:rPr>
      </w:pPr>
      <w:r w:rsidRPr="001533EE">
        <w:rPr>
          <w:rFonts w:cs="Arial"/>
          <w:sz w:val="24"/>
          <w:szCs w:val="24"/>
        </w:rPr>
        <w:lastRenderedPageBreak/>
        <w:t xml:space="preserve">The programme will be kept under review </w:t>
      </w:r>
      <w:r w:rsidR="00EB3937">
        <w:rPr>
          <w:rFonts w:cs="Arial"/>
          <w:sz w:val="24"/>
          <w:szCs w:val="24"/>
        </w:rPr>
        <w:t xml:space="preserve">in line with the </w:t>
      </w:r>
      <w:r w:rsidR="005406BE">
        <w:rPr>
          <w:rFonts w:cs="Arial"/>
          <w:sz w:val="24"/>
          <w:szCs w:val="24"/>
        </w:rPr>
        <w:t xml:space="preserve">Community Risk </w:t>
      </w:r>
      <w:r w:rsidR="00EB3937">
        <w:rPr>
          <w:rFonts w:cs="Arial"/>
          <w:sz w:val="24"/>
          <w:szCs w:val="24"/>
        </w:rPr>
        <w:t xml:space="preserve">Management </w:t>
      </w:r>
      <w:r w:rsidR="005406BE">
        <w:rPr>
          <w:rFonts w:cs="Arial"/>
          <w:sz w:val="24"/>
          <w:szCs w:val="24"/>
        </w:rPr>
        <w:t xml:space="preserve">Plan and </w:t>
      </w:r>
      <w:r w:rsidR="00EB3937">
        <w:rPr>
          <w:rFonts w:cs="Arial"/>
          <w:sz w:val="24"/>
          <w:szCs w:val="24"/>
        </w:rPr>
        <w:t xml:space="preserve">any </w:t>
      </w:r>
      <w:r w:rsidR="005406BE">
        <w:rPr>
          <w:rFonts w:cs="Arial"/>
          <w:sz w:val="24"/>
          <w:szCs w:val="24"/>
        </w:rPr>
        <w:t xml:space="preserve">associated </w:t>
      </w:r>
      <w:r w:rsidRPr="001533EE">
        <w:rPr>
          <w:rFonts w:cs="Arial"/>
          <w:sz w:val="24"/>
          <w:szCs w:val="24"/>
        </w:rPr>
        <w:t xml:space="preserve">reviews which are likely to impact on the priority order of </w:t>
      </w:r>
      <w:r w:rsidR="00310865" w:rsidRPr="001533EE">
        <w:rPr>
          <w:rFonts w:cs="Arial"/>
          <w:sz w:val="24"/>
          <w:szCs w:val="24"/>
        </w:rPr>
        <w:t>schemes</w:t>
      </w:r>
      <w:r w:rsidR="00310865">
        <w:rPr>
          <w:rFonts w:cs="Arial"/>
          <w:sz w:val="24"/>
          <w:szCs w:val="24"/>
        </w:rPr>
        <w:t>.</w:t>
      </w:r>
      <w:r w:rsidRPr="001533EE">
        <w:rPr>
          <w:rFonts w:cs="Arial"/>
          <w:sz w:val="24"/>
          <w:szCs w:val="24"/>
        </w:rPr>
        <w:t xml:space="preserve"> Also, estimates of costs for new stations will be regularly revisited alongside any impact on the minor works programme. It is important to understand how quickly different elements of the programme of work can be undertaken to set against the funding available. </w:t>
      </w:r>
    </w:p>
    <w:p w14:paraId="3388452E" w14:textId="77777777" w:rsidR="00524226" w:rsidRPr="001533EE" w:rsidRDefault="00524226" w:rsidP="00524226">
      <w:pPr>
        <w:pStyle w:val="ListParagraph"/>
        <w:ind w:left="709"/>
        <w:jc w:val="both"/>
        <w:rPr>
          <w:rFonts w:cs="Arial"/>
          <w:sz w:val="24"/>
          <w:szCs w:val="24"/>
        </w:rPr>
      </w:pPr>
    </w:p>
    <w:p w14:paraId="592BBEE1" w14:textId="0C45BEE0" w:rsidR="007B32A7" w:rsidRPr="001533EE" w:rsidRDefault="007B32A7" w:rsidP="006A2F03">
      <w:pPr>
        <w:pStyle w:val="ListParagraph"/>
        <w:numPr>
          <w:ilvl w:val="1"/>
          <w:numId w:val="20"/>
        </w:numPr>
        <w:ind w:left="709" w:hanging="709"/>
        <w:jc w:val="both"/>
        <w:rPr>
          <w:rFonts w:cs="Arial"/>
          <w:sz w:val="24"/>
          <w:szCs w:val="24"/>
        </w:rPr>
      </w:pPr>
      <w:r w:rsidRPr="001533EE">
        <w:rPr>
          <w:rFonts w:cs="Arial"/>
          <w:sz w:val="24"/>
          <w:szCs w:val="24"/>
        </w:rPr>
        <w:t>There</w:t>
      </w:r>
      <w:r w:rsidR="00524226" w:rsidRPr="001533EE">
        <w:rPr>
          <w:rFonts w:cs="Arial"/>
          <w:sz w:val="24"/>
          <w:szCs w:val="24"/>
        </w:rPr>
        <w:t xml:space="preserve"> continues to be </w:t>
      </w:r>
      <w:r w:rsidRPr="001533EE">
        <w:rPr>
          <w:rFonts w:cs="Arial"/>
          <w:sz w:val="24"/>
          <w:szCs w:val="24"/>
        </w:rPr>
        <w:t xml:space="preserve">an increased focus on slippage of capital schemes moving into </w:t>
      </w:r>
      <w:r w:rsidRPr="007D6895">
        <w:rPr>
          <w:rFonts w:cs="Arial"/>
          <w:sz w:val="24"/>
          <w:szCs w:val="24"/>
        </w:rPr>
        <w:t>202</w:t>
      </w:r>
      <w:r w:rsidR="005406BE" w:rsidRPr="007D6895">
        <w:rPr>
          <w:rFonts w:cs="Arial"/>
          <w:sz w:val="24"/>
          <w:szCs w:val="24"/>
        </w:rPr>
        <w:t>6</w:t>
      </w:r>
      <w:r w:rsidRPr="007D6895">
        <w:rPr>
          <w:rFonts w:cs="Arial"/>
          <w:sz w:val="24"/>
          <w:szCs w:val="24"/>
        </w:rPr>
        <w:t>/2</w:t>
      </w:r>
      <w:r w:rsidR="005406BE" w:rsidRPr="007D6895">
        <w:rPr>
          <w:rFonts w:cs="Arial"/>
          <w:sz w:val="24"/>
          <w:szCs w:val="24"/>
        </w:rPr>
        <w:t>7</w:t>
      </w:r>
      <w:r w:rsidRPr="007D6895">
        <w:rPr>
          <w:rFonts w:cs="Arial"/>
          <w:sz w:val="24"/>
          <w:szCs w:val="24"/>
        </w:rPr>
        <w:t>.</w:t>
      </w:r>
      <w:r w:rsidR="00FF6976" w:rsidRPr="007D6895">
        <w:rPr>
          <w:rFonts w:cs="Arial"/>
          <w:sz w:val="24"/>
          <w:szCs w:val="24"/>
        </w:rPr>
        <w:t xml:space="preserve"> </w:t>
      </w:r>
      <w:r w:rsidRPr="007D6895">
        <w:rPr>
          <w:rFonts w:cs="Arial"/>
          <w:sz w:val="24"/>
          <w:szCs w:val="24"/>
        </w:rPr>
        <w:t xml:space="preserve">Slippage approved prior to </w:t>
      </w:r>
      <w:r w:rsidR="007D6895" w:rsidRPr="007D6895">
        <w:rPr>
          <w:rFonts w:cs="Arial"/>
          <w:sz w:val="24"/>
          <w:szCs w:val="24"/>
        </w:rPr>
        <w:t xml:space="preserve">October </w:t>
      </w:r>
      <w:r w:rsidRPr="007D6895">
        <w:rPr>
          <w:rFonts w:cs="Arial"/>
          <w:sz w:val="24"/>
          <w:szCs w:val="24"/>
        </w:rPr>
        <w:t>202</w:t>
      </w:r>
      <w:r w:rsidR="007D6895" w:rsidRPr="007D6895">
        <w:rPr>
          <w:rFonts w:cs="Arial"/>
          <w:sz w:val="24"/>
          <w:szCs w:val="24"/>
        </w:rPr>
        <w:t>5</w:t>
      </w:r>
      <w:r w:rsidRPr="007D6895">
        <w:rPr>
          <w:rFonts w:cs="Arial"/>
          <w:sz w:val="24"/>
          <w:szCs w:val="24"/>
        </w:rPr>
        <w:t xml:space="preserve"> has been included within the Capital Programme.</w:t>
      </w:r>
      <w:r w:rsidRPr="001533EE">
        <w:rPr>
          <w:rFonts w:cs="Arial"/>
          <w:sz w:val="24"/>
          <w:szCs w:val="24"/>
        </w:rPr>
        <w:t xml:space="preserve"> Any requests for further slippage will be subject to approval by the </w:t>
      </w:r>
      <w:r w:rsidR="0056053B" w:rsidRPr="0056053B">
        <w:rPr>
          <w:rFonts w:cs="Arial"/>
          <w:sz w:val="24"/>
          <w:szCs w:val="24"/>
        </w:rPr>
        <w:t>Assistant Director of Resources</w:t>
      </w:r>
      <w:r w:rsidRPr="001533EE">
        <w:rPr>
          <w:rFonts w:cs="Arial"/>
          <w:sz w:val="24"/>
          <w:szCs w:val="24"/>
        </w:rPr>
        <w:t>.</w:t>
      </w:r>
    </w:p>
    <w:p w14:paraId="3DB5AC9D" w14:textId="77777777" w:rsidR="00FF6976" w:rsidRPr="001533EE" w:rsidRDefault="00FF6976" w:rsidP="00FF6976">
      <w:pPr>
        <w:pStyle w:val="ListParagraph"/>
        <w:rPr>
          <w:rFonts w:cs="Arial"/>
          <w:sz w:val="24"/>
          <w:szCs w:val="24"/>
        </w:rPr>
      </w:pPr>
    </w:p>
    <w:p w14:paraId="0BA2B305" w14:textId="22A3F62A" w:rsidR="00FF6976" w:rsidRDefault="00FF6976" w:rsidP="006A2F03">
      <w:pPr>
        <w:pStyle w:val="ListParagraph"/>
        <w:numPr>
          <w:ilvl w:val="1"/>
          <w:numId w:val="20"/>
        </w:numPr>
        <w:ind w:left="567" w:hanging="567"/>
        <w:jc w:val="both"/>
        <w:rPr>
          <w:rFonts w:cs="Arial"/>
          <w:sz w:val="24"/>
          <w:szCs w:val="24"/>
        </w:rPr>
      </w:pPr>
      <w:r w:rsidRPr="001533EE">
        <w:rPr>
          <w:rFonts w:cs="Arial"/>
          <w:sz w:val="24"/>
          <w:szCs w:val="24"/>
        </w:rPr>
        <w:t xml:space="preserve">   This report provides a summary of the following for 202</w:t>
      </w:r>
      <w:r w:rsidR="00B54CF0">
        <w:rPr>
          <w:rFonts w:cs="Arial"/>
          <w:sz w:val="24"/>
          <w:szCs w:val="24"/>
        </w:rPr>
        <w:t>6</w:t>
      </w:r>
      <w:r w:rsidRPr="001533EE">
        <w:rPr>
          <w:rFonts w:cs="Arial"/>
          <w:sz w:val="24"/>
          <w:szCs w:val="24"/>
        </w:rPr>
        <w:t>/2</w:t>
      </w:r>
      <w:r w:rsidR="00B54CF0">
        <w:rPr>
          <w:rFonts w:cs="Arial"/>
          <w:sz w:val="24"/>
          <w:szCs w:val="24"/>
        </w:rPr>
        <w:t>7</w:t>
      </w:r>
      <w:r w:rsidR="00190C57" w:rsidRPr="001533EE">
        <w:rPr>
          <w:rFonts w:cs="Arial"/>
          <w:sz w:val="24"/>
          <w:szCs w:val="24"/>
        </w:rPr>
        <w:t>:</w:t>
      </w:r>
    </w:p>
    <w:p w14:paraId="442A1005" w14:textId="77777777" w:rsidR="007F22DA" w:rsidRPr="007F22DA" w:rsidRDefault="007F22DA" w:rsidP="007F22DA">
      <w:pPr>
        <w:pStyle w:val="ListParagraph"/>
        <w:rPr>
          <w:rFonts w:cs="Arial"/>
          <w:sz w:val="24"/>
          <w:szCs w:val="24"/>
        </w:rPr>
      </w:pPr>
    </w:p>
    <w:p w14:paraId="66B1BC29" w14:textId="4233B9F4" w:rsidR="00FF6976" w:rsidRPr="007F22DA" w:rsidRDefault="00FF6976" w:rsidP="006A2F03">
      <w:pPr>
        <w:pStyle w:val="ListParagraph"/>
        <w:numPr>
          <w:ilvl w:val="1"/>
          <w:numId w:val="20"/>
        </w:numPr>
        <w:ind w:left="709" w:hanging="709"/>
        <w:jc w:val="both"/>
        <w:rPr>
          <w:rFonts w:cs="Arial"/>
          <w:sz w:val="24"/>
          <w:szCs w:val="24"/>
        </w:rPr>
      </w:pPr>
      <w:r w:rsidRPr="007F22DA">
        <w:rPr>
          <w:rFonts w:cs="Arial"/>
          <w:b/>
          <w:bCs/>
          <w:sz w:val="24"/>
          <w:szCs w:val="24"/>
        </w:rPr>
        <w:t>Treasury Management Strategy (See A</w:t>
      </w:r>
      <w:r w:rsidR="001C627A" w:rsidRPr="007F22DA">
        <w:rPr>
          <w:rFonts w:cs="Arial"/>
          <w:b/>
          <w:bCs/>
          <w:sz w:val="24"/>
          <w:szCs w:val="24"/>
        </w:rPr>
        <w:t>nnex</w:t>
      </w:r>
      <w:r w:rsidRPr="007F22DA">
        <w:rPr>
          <w:rFonts w:cs="Arial"/>
          <w:b/>
          <w:bCs/>
          <w:sz w:val="24"/>
          <w:szCs w:val="24"/>
        </w:rPr>
        <w:t xml:space="preserve"> </w:t>
      </w:r>
      <w:r w:rsidR="000B3EB6" w:rsidRPr="007F22DA">
        <w:rPr>
          <w:rFonts w:cs="Arial"/>
          <w:b/>
          <w:bCs/>
          <w:sz w:val="24"/>
          <w:szCs w:val="24"/>
        </w:rPr>
        <w:t>1</w:t>
      </w:r>
      <w:r w:rsidR="001C627A" w:rsidRPr="007F22DA">
        <w:rPr>
          <w:rFonts w:cs="Arial"/>
          <w:b/>
          <w:bCs/>
          <w:sz w:val="24"/>
          <w:szCs w:val="24"/>
        </w:rPr>
        <w:t xml:space="preserve"> – Section 1</w:t>
      </w:r>
      <w:r w:rsidRPr="007F22DA">
        <w:rPr>
          <w:rFonts w:cs="Arial"/>
          <w:b/>
          <w:bCs/>
          <w:sz w:val="24"/>
          <w:szCs w:val="24"/>
        </w:rPr>
        <w:t>)</w:t>
      </w:r>
    </w:p>
    <w:p w14:paraId="7E46B672" w14:textId="5BFC43D5" w:rsidR="00557849" w:rsidRPr="001533EE" w:rsidRDefault="00557849" w:rsidP="003F1D85">
      <w:pPr>
        <w:pStyle w:val="ListParagraph"/>
        <w:ind w:left="0"/>
        <w:rPr>
          <w:rFonts w:cs="Arial"/>
          <w:sz w:val="24"/>
          <w:szCs w:val="24"/>
        </w:rPr>
      </w:pPr>
    </w:p>
    <w:p w14:paraId="3201238E" w14:textId="30FD5E3C" w:rsidR="00FF6976" w:rsidRPr="001533EE" w:rsidRDefault="00C70221" w:rsidP="00FF6976">
      <w:pPr>
        <w:ind w:left="709"/>
        <w:jc w:val="both"/>
        <w:rPr>
          <w:rFonts w:cs="Arial"/>
          <w:sz w:val="24"/>
          <w:szCs w:val="24"/>
        </w:rPr>
      </w:pPr>
      <w:r w:rsidRPr="001533EE">
        <w:rPr>
          <w:rFonts w:cs="Arial"/>
          <w:sz w:val="24"/>
          <w:szCs w:val="24"/>
        </w:rPr>
        <w:t xml:space="preserve">The Treasury Management Strategy sets out the requirements for the overall Treasury, Borrowing, Investment and Capital Policies. </w:t>
      </w:r>
      <w:r w:rsidR="00FF6976" w:rsidRPr="001533EE">
        <w:rPr>
          <w:rFonts w:cs="Arial"/>
          <w:sz w:val="24"/>
          <w:szCs w:val="24"/>
        </w:rPr>
        <w:t>The strategic approach is set out in the following:</w:t>
      </w:r>
    </w:p>
    <w:p w14:paraId="3ABAC696" w14:textId="77777777" w:rsidR="00FF6976" w:rsidRPr="001533EE" w:rsidRDefault="00FF6976" w:rsidP="00FF6976">
      <w:pPr>
        <w:jc w:val="both"/>
        <w:rPr>
          <w:rFonts w:cs="Arial"/>
          <w:sz w:val="24"/>
          <w:szCs w:val="24"/>
        </w:rPr>
      </w:pPr>
    </w:p>
    <w:p w14:paraId="2A6134D9" w14:textId="4EFF00B8" w:rsidR="00FF6976" w:rsidRPr="001533EE" w:rsidRDefault="007F22DA" w:rsidP="00FF6976">
      <w:pPr>
        <w:ind w:left="709" w:hanging="709"/>
        <w:jc w:val="both"/>
        <w:rPr>
          <w:rFonts w:cs="Arial"/>
          <w:sz w:val="24"/>
          <w:szCs w:val="24"/>
        </w:rPr>
      </w:pPr>
      <w:r>
        <w:rPr>
          <w:rFonts w:cs="Arial"/>
          <w:sz w:val="24"/>
          <w:szCs w:val="24"/>
        </w:rPr>
        <w:t>2.13</w:t>
      </w:r>
      <w:r>
        <w:rPr>
          <w:rFonts w:cs="Arial"/>
          <w:sz w:val="24"/>
          <w:szCs w:val="24"/>
        </w:rPr>
        <w:tab/>
      </w:r>
      <w:r w:rsidR="00FF6976" w:rsidRPr="001533EE">
        <w:rPr>
          <w:rFonts w:cs="Arial"/>
          <w:b/>
          <w:sz w:val="24"/>
          <w:szCs w:val="24"/>
        </w:rPr>
        <w:t>Capital Prudential Indicators (See A</w:t>
      </w:r>
      <w:r w:rsidR="001C627A" w:rsidRPr="001533EE">
        <w:rPr>
          <w:rFonts w:cs="Arial"/>
          <w:b/>
          <w:sz w:val="24"/>
          <w:szCs w:val="24"/>
        </w:rPr>
        <w:t xml:space="preserve">nnex </w:t>
      </w:r>
      <w:r w:rsidR="000B3EB6" w:rsidRPr="001533EE">
        <w:rPr>
          <w:rFonts w:cs="Arial"/>
          <w:b/>
          <w:sz w:val="24"/>
          <w:szCs w:val="24"/>
        </w:rPr>
        <w:t>1</w:t>
      </w:r>
      <w:r w:rsidR="00FF6976" w:rsidRPr="001533EE">
        <w:rPr>
          <w:rFonts w:cs="Arial"/>
          <w:b/>
          <w:sz w:val="24"/>
          <w:szCs w:val="24"/>
        </w:rPr>
        <w:t xml:space="preserve"> </w:t>
      </w:r>
      <w:r w:rsidR="001C627A" w:rsidRPr="001533EE">
        <w:rPr>
          <w:rFonts w:cs="Arial"/>
          <w:b/>
          <w:sz w:val="24"/>
          <w:szCs w:val="24"/>
        </w:rPr>
        <w:t>-</w:t>
      </w:r>
      <w:r w:rsidR="00FF6976" w:rsidRPr="001533EE">
        <w:rPr>
          <w:rFonts w:cs="Arial"/>
          <w:b/>
          <w:sz w:val="24"/>
          <w:szCs w:val="24"/>
        </w:rPr>
        <w:t xml:space="preserve"> Section 2)</w:t>
      </w:r>
    </w:p>
    <w:p w14:paraId="6E351FD4" w14:textId="77777777" w:rsidR="00FF6976" w:rsidRPr="001533EE" w:rsidRDefault="00FF6976" w:rsidP="00FF6976">
      <w:pPr>
        <w:ind w:left="567" w:hanging="567"/>
        <w:rPr>
          <w:rFonts w:cs="Arial"/>
          <w:b/>
          <w:sz w:val="24"/>
          <w:szCs w:val="24"/>
        </w:rPr>
      </w:pPr>
    </w:p>
    <w:p w14:paraId="0712EE4C" w14:textId="4EAC1076" w:rsidR="00FF6976" w:rsidRPr="009E13A7" w:rsidRDefault="00FF6976" w:rsidP="00FF6976">
      <w:pPr>
        <w:ind w:left="709"/>
        <w:jc w:val="both"/>
        <w:rPr>
          <w:rFonts w:cs="Arial"/>
          <w:sz w:val="24"/>
          <w:szCs w:val="24"/>
        </w:rPr>
      </w:pPr>
      <w:r w:rsidRPr="001533EE">
        <w:rPr>
          <w:rFonts w:cs="Arial"/>
          <w:sz w:val="24"/>
          <w:szCs w:val="24"/>
        </w:rPr>
        <w:t xml:space="preserve">The Capital Prudential </w:t>
      </w:r>
      <w:r w:rsidRPr="009E13A7">
        <w:rPr>
          <w:rFonts w:cs="Arial"/>
          <w:sz w:val="24"/>
          <w:szCs w:val="24"/>
        </w:rPr>
        <w:t>Indicators set out the capital expenditure plan and associated indicators, capital financing requirement (£</w:t>
      </w:r>
      <w:r w:rsidR="002D5500" w:rsidRPr="009E13A7">
        <w:rPr>
          <w:rFonts w:cs="Arial"/>
          <w:sz w:val="24"/>
          <w:szCs w:val="24"/>
        </w:rPr>
        <w:t>2</w:t>
      </w:r>
      <w:r w:rsidR="00C762C0">
        <w:rPr>
          <w:rFonts w:cs="Arial"/>
          <w:sz w:val="24"/>
          <w:szCs w:val="24"/>
        </w:rPr>
        <w:t>2</w:t>
      </w:r>
      <w:r w:rsidR="002D5500" w:rsidRPr="009E13A7">
        <w:rPr>
          <w:rFonts w:cs="Arial"/>
          <w:sz w:val="24"/>
          <w:szCs w:val="24"/>
        </w:rPr>
        <w:t>.</w:t>
      </w:r>
      <w:r w:rsidR="00C762C0">
        <w:rPr>
          <w:rFonts w:cs="Arial"/>
          <w:sz w:val="24"/>
          <w:szCs w:val="24"/>
        </w:rPr>
        <w:t>9</w:t>
      </w:r>
      <w:r w:rsidR="002D5500" w:rsidRPr="009E13A7">
        <w:rPr>
          <w:rFonts w:cs="Arial"/>
          <w:sz w:val="24"/>
          <w:szCs w:val="24"/>
        </w:rPr>
        <w:t xml:space="preserve">m </w:t>
      </w:r>
      <w:r w:rsidRPr="009E13A7">
        <w:rPr>
          <w:rFonts w:cs="Arial"/>
          <w:sz w:val="24"/>
          <w:szCs w:val="24"/>
        </w:rPr>
        <w:t>in 202</w:t>
      </w:r>
      <w:r w:rsidR="009E13A7" w:rsidRPr="009E13A7">
        <w:rPr>
          <w:rFonts w:cs="Arial"/>
          <w:sz w:val="24"/>
          <w:szCs w:val="24"/>
        </w:rPr>
        <w:t>5</w:t>
      </w:r>
      <w:r w:rsidRPr="009E13A7">
        <w:rPr>
          <w:rFonts w:cs="Arial"/>
          <w:sz w:val="24"/>
          <w:szCs w:val="24"/>
        </w:rPr>
        <w:t>/2</w:t>
      </w:r>
      <w:r w:rsidR="009E13A7" w:rsidRPr="009E13A7">
        <w:rPr>
          <w:rFonts w:cs="Arial"/>
          <w:sz w:val="24"/>
          <w:szCs w:val="24"/>
        </w:rPr>
        <w:t>6</w:t>
      </w:r>
      <w:r w:rsidRPr="009E13A7">
        <w:rPr>
          <w:rFonts w:cs="Arial"/>
          <w:sz w:val="24"/>
          <w:szCs w:val="24"/>
        </w:rPr>
        <w:t xml:space="preserve">) and the monitoring of core funds and investment balances. The Minimum Revenue Provision (MRP) Policy Statement is also </w:t>
      </w:r>
      <w:r w:rsidR="009E13A7" w:rsidRPr="009E13A7">
        <w:rPr>
          <w:rFonts w:cs="Arial"/>
          <w:sz w:val="24"/>
          <w:szCs w:val="24"/>
        </w:rPr>
        <w:t>included.</w:t>
      </w:r>
    </w:p>
    <w:p w14:paraId="3D204FC5" w14:textId="1BA109F1" w:rsidR="00FF6976" w:rsidRPr="009E13A7" w:rsidRDefault="00FF6976" w:rsidP="00FF6976">
      <w:pPr>
        <w:ind w:left="709"/>
        <w:jc w:val="both"/>
        <w:rPr>
          <w:rFonts w:cs="Arial"/>
          <w:sz w:val="24"/>
          <w:szCs w:val="24"/>
        </w:rPr>
      </w:pPr>
    </w:p>
    <w:p w14:paraId="041AF2FC" w14:textId="3C1DCEDA" w:rsidR="007B7E32" w:rsidRDefault="00FF6976" w:rsidP="00662674">
      <w:pPr>
        <w:ind w:left="709"/>
        <w:jc w:val="both"/>
        <w:rPr>
          <w:rFonts w:cs="Arial"/>
          <w:sz w:val="24"/>
          <w:szCs w:val="24"/>
        </w:rPr>
      </w:pPr>
      <w:r w:rsidRPr="009E13A7">
        <w:rPr>
          <w:rFonts w:cs="Arial"/>
          <w:sz w:val="24"/>
          <w:szCs w:val="24"/>
        </w:rPr>
        <w:t xml:space="preserve">The Prudential Indicators have been revised and updated in line with the latest CIPFA Code of Practice. </w:t>
      </w:r>
    </w:p>
    <w:p w14:paraId="44A43DEC" w14:textId="77777777" w:rsidR="007F22DA" w:rsidRDefault="007F22DA" w:rsidP="00662674">
      <w:pPr>
        <w:ind w:left="709"/>
        <w:jc w:val="both"/>
        <w:rPr>
          <w:rFonts w:cs="Arial"/>
          <w:sz w:val="24"/>
          <w:szCs w:val="24"/>
        </w:rPr>
      </w:pPr>
    </w:p>
    <w:p w14:paraId="36A9F7DF" w14:textId="48DC494B" w:rsidR="00FF6976" w:rsidRPr="009E13A7" w:rsidRDefault="007F22DA" w:rsidP="007F22DA">
      <w:pPr>
        <w:ind w:left="709" w:hanging="709"/>
        <w:jc w:val="both"/>
        <w:rPr>
          <w:rFonts w:cs="Arial"/>
          <w:sz w:val="24"/>
          <w:szCs w:val="24"/>
        </w:rPr>
      </w:pPr>
      <w:r>
        <w:rPr>
          <w:rFonts w:cs="Arial"/>
          <w:sz w:val="24"/>
          <w:szCs w:val="24"/>
        </w:rPr>
        <w:t>2.14</w:t>
      </w:r>
      <w:r>
        <w:rPr>
          <w:rFonts w:cs="Arial"/>
          <w:sz w:val="24"/>
          <w:szCs w:val="24"/>
        </w:rPr>
        <w:tab/>
      </w:r>
      <w:r w:rsidR="00FF6976" w:rsidRPr="009E13A7">
        <w:rPr>
          <w:rFonts w:cs="Arial"/>
          <w:b/>
          <w:sz w:val="24"/>
          <w:szCs w:val="24"/>
        </w:rPr>
        <w:t>Borrowing Strategy (See A</w:t>
      </w:r>
      <w:r w:rsidR="001C627A" w:rsidRPr="009E13A7">
        <w:rPr>
          <w:rFonts w:cs="Arial"/>
          <w:b/>
          <w:sz w:val="24"/>
          <w:szCs w:val="24"/>
        </w:rPr>
        <w:t>nnex</w:t>
      </w:r>
      <w:r w:rsidR="00FF6976" w:rsidRPr="009E13A7">
        <w:rPr>
          <w:rFonts w:cs="Arial"/>
          <w:b/>
          <w:sz w:val="24"/>
          <w:szCs w:val="24"/>
        </w:rPr>
        <w:t xml:space="preserve"> </w:t>
      </w:r>
      <w:r w:rsidR="000B3EB6" w:rsidRPr="009E13A7">
        <w:rPr>
          <w:rFonts w:cs="Arial"/>
          <w:b/>
          <w:sz w:val="24"/>
          <w:szCs w:val="24"/>
        </w:rPr>
        <w:t>1</w:t>
      </w:r>
      <w:r w:rsidR="00FF6976" w:rsidRPr="009E13A7">
        <w:rPr>
          <w:rFonts w:cs="Arial"/>
          <w:b/>
          <w:sz w:val="24"/>
          <w:szCs w:val="24"/>
        </w:rPr>
        <w:t xml:space="preserve"> </w:t>
      </w:r>
      <w:r w:rsidR="001C627A" w:rsidRPr="009E13A7">
        <w:rPr>
          <w:rFonts w:cs="Arial"/>
          <w:b/>
          <w:sz w:val="24"/>
          <w:szCs w:val="24"/>
        </w:rPr>
        <w:t>-</w:t>
      </w:r>
      <w:r w:rsidR="00FF6976" w:rsidRPr="009E13A7">
        <w:rPr>
          <w:rFonts w:cs="Arial"/>
          <w:b/>
          <w:sz w:val="24"/>
          <w:szCs w:val="24"/>
        </w:rPr>
        <w:t xml:space="preserve"> Section 3)</w:t>
      </w:r>
    </w:p>
    <w:p w14:paraId="3196E57A" w14:textId="77777777" w:rsidR="00FF6976" w:rsidRPr="009E13A7" w:rsidRDefault="00FF6976" w:rsidP="00FF6976">
      <w:pPr>
        <w:ind w:left="567" w:hanging="567"/>
        <w:rPr>
          <w:rFonts w:cs="Arial"/>
          <w:b/>
          <w:sz w:val="24"/>
          <w:szCs w:val="24"/>
        </w:rPr>
      </w:pPr>
    </w:p>
    <w:p w14:paraId="04EE4D65" w14:textId="2A77DF0D" w:rsidR="00FF6976" w:rsidRPr="009E13A7" w:rsidRDefault="00FF6976" w:rsidP="00FF6976">
      <w:pPr>
        <w:ind w:left="709" w:hanging="709"/>
        <w:jc w:val="both"/>
        <w:rPr>
          <w:rFonts w:cs="Arial"/>
          <w:sz w:val="24"/>
          <w:szCs w:val="24"/>
        </w:rPr>
      </w:pPr>
      <w:r w:rsidRPr="009E13A7">
        <w:rPr>
          <w:rFonts w:cs="Arial"/>
          <w:sz w:val="24"/>
          <w:szCs w:val="24"/>
        </w:rPr>
        <w:tab/>
        <w:t>The Treasury Management function ensures that the</w:t>
      </w:r>
      <w:r w:rsidR="002171D5" w:rsidRPr="009E13A7">
        <w:rPr>
          <w:rFonts w:cs="Arial"/>
          <w:sz w:val="24"/>
          <w:szCs w:val="24"/>
        </w:rPr>
        <w:t xml:space="preserve"> Authority</w:t>
      </w:r>
      <w:r w:rsidRPr="009E13A7">
        <w:rPr>
          <w:rFonts w:cs="Arial"/>
          <w:sz w:val="24"/>
          <w:szCs w:val="24"/>
        </w:rPr>
        <w:t xml:space="preserve">’s cash is managed to safeguard the delivery of the Capital Expenditures plans set out in </w:t>
      </w:r>
      <w:r w:rsidRPr="009E13A7">
        <w:rPr>
          <w:rFonts w:cs="Arial"/>
          <w:b/>
          <w:sz w:val="24"/>
          <w:szCs w:val="24"/>
        </w:rPr>
        <w:t>A</w:t>
      </w:r>
      <w:r w:rsidR="001C627A" w:rsidRPr="009E13A7">
        <w:rPr>
          <w:rFonts w:cs="Arial"/>
          <w:b/>
          <w:sz w:val="24"/>
          <w:szCs w:val="24"/>
        </w:rPr>
        <w:t>nnex</w:t>
      </w:r>
      <w:r w:rsidRPr="009E13A7">
        <w:rPr>
          <w:rFonts w:cs="Arial"/>
          <w:b/>
          <w:sz w:val="24"/>
          <w:szCs w:val="24"/>
        </w:rPr>
        <w:t xml:space="preserve"> </w:t>
      </w:r>
      <w:r w:rsidR="000B3EB6" w:rsidRPr="009E13A7">
        <w:rPr>
          <w:rFonts w:cs="Arial"/>
          <w:b/>
          <w:sz w:val="24"/>
          <w:szCs w:val="24"/>
        </w:rPr>
        <w:t>1</w:t>
      </w:r>
      <w:r w:rsidRPr="009E13A7">
        <w:rPr>
          <w:rFonts w:cs="Arial"/>
          <w:sz w:val="24"/>
          <w:szCs w:val="24"/>
        </w:rPr>
        <w:t>. The Borrowing Strategy covers the current and projected position as well as the Treasury Prudential Indicators. The key Treasury Management Indicators the</w:t>
      </w:r>
      <w:r w:rsidR="002171D5" w:rsidRPr="009E13A7">
        <w:rPr>
          <w:rFonts w:cs="Arial"/>
          <w:sz w:val="24"/>
          <w:szCs w:val="24"/>
        </w:rPr>
        <w:t xml:space="preserve"> </w:t>
      </w:r>
      <w:r w:rsidR="0054171B">
        <w:rPr>
          <w:rFonts w:cs="Arial"/>
          <w:sz w:val="24"/>
          <w:szCs w:val="24"/>
        </w:rPr>
        <w:t>Mayor</w:t>
      </w:r>
      <w:r w:rsidR="0056053B">
        <w:rPr>
          <w:rFonts w:cs="Arial"/>
          <w:sz w:val="24"/>
          <w:szCs w:val="24"/>
        </w:rPr>
        <w:t>/Deputy Mayor</w:t>
      </w:r>
      <w:r w:rsidR="0054171B">
        <w:rPr>
          <w:rFonts w:cs="Arial"/>
          <w:sz w:val="24"/>
          <w:szCs w:val="24"/>
        </w:rPr>
        <w:t xml:space="preserve"> </w:t>
      </w:r>
      <w:r w:rsidR="002171D5" w:rsidRPr="009E13A7">
        <w:rPr>
          <w:rFonts w:cs="Arial"/>
          <w:sz w:val="24"/>
          <w:szCs w:val="24"/>
        </w:rPr>
        <w:t>is</w:t>
      </w:r>
      <w:r w:rsidRPr="009E13A7">
        <w:rPr>
          <w:rFonts w:cs="Arial"/>
          <w:sz w:val="24"/>
          <w:szCs w:val="24"/>
        </w:rPr>
        <w:t xml:space="preserve"> required to approve are:</w:t>
      </w:r>
    </w:p>
    <w:p w14:paraId="451BC786" w14:textId="77777777" w:rsidR="00FF6976" w:rsidRPr="009E13A7" w:rsidRDefault="00FF6976" w:rsidP="00FF6976">
      <w:pPr>
        <w:ind w:left="567" w:hanging="567"/>
        <w:jc w:val="both"/>
        <w:rPr>
          <w:rFonts w:cs="Arial"/>
          <w:sz w:val="24"/>
          <w:szCs w:val="24"/>
        </w:rPr>
      </w:pPr>
    </w:p>
    <w:p w14:paraId="55C2437C" w14:textId="57D2F913" w:rsidR="00FF6976" w:rsidRPr="00491985" w:rsidRDefault="00FF6976" w:rsidP="006A2F03">
      <w:pPr>
        <w:pStyle w:val="ListParagraph"/>
        <w:numPr>
          <w:ilvl w:val="0"/>
          <w:numId w:val="18"/>
        </w:numPr>
        <w:ind w:left="1134" w:hanging="283"/>
        <w:contextualSpacing w:val="0"/>
        <w:jc w:val="both"/>
        <w:rPr>
          <w:rFonts w:cs="Arial"/>
          <w:sz w:val="24"/>
          <w:szCs w:val="24"/>
        </w:rPr>
      </w:pPr>
      <w:r w:rsidRPr="009E13A7">
        <w:rPr>
          <w:rFonts w:cs="Arial"/>
          <w:sz w:val="24"/>
          <w:szCs w:val="24"/>
        </w:rPr>
        <w:t xml:space="preserve">The Authorised Limit for External Debt (the legal limit beyond which external debt is </w:t>
      </w:r>
      <w:r w:rsidRPr="00491985">
        <w:rPr>
          <w:rFonts w:cs="Arial"/>
          <w:sz w:val="24"/>
          <w:szCs w:val="24"/>
        </w:rPr>
        <w:t>prohibited), £</w:t>
      </w:r>
      <w:r w:rsidR="002D5500" w:rsidRPr="00491985">
        <w:rPr>
          <w:rFonts w:cs="Arial"/>
          <w:sz w:val="24"/>
          <w:szCs w:val="24"/>
        </w:rPr>
        <w:t>2</w:t>
      </w:r>
      <w:r w:rsidR="00491985" w:rsidRPr="00491985">
        <w:rPr>
          <w:rFonts w:cs="Arial"/>
          <w:sz w:val="24"/>
          <w:szCs w:val="24"/>
        </w:rPr>
        <w:t>0.7</w:t>
      </w:r>
      <w:r w:rsidRPr="00491985">
        <w:rPr>
          <w:rFonts w:cs="Arial"/>
          <w:sz w:val="24"/>
          <w:szCs w:val="24"/>
        </w:rPr>
        <w:t>m in 202</w:t>
      </w:r>
      <w:r w:rsidR="00786C9C" w:rsidRPr="00491985">
        <w:rPr>
          <w:rFonts w:cs="Arial"/>
          <w:sz w:val="24"/>
          <w:szCs w:val="24"/>
        </w:rPr>
        <w:t>6</w:t>
      </w:r>
      <w:r w:rsidRPr="00491985">
        <w:rPr>
          <w:rFonts w:cs="Arial"/>
          <w:sz w:val="24"/>
          <w:szCs w:val="24"/>
        </w:rPr>
        <w:t>/2</w:t>
      </w:r>
      <w:r w:rsidR="00786C9C" w:rsidRPr="00491985">
        <w:rPr>
          <w:rFonts w:cs="Arial"/>
          <w:sz w:val="24"/>
          <w:szCs w:val="24"/>
        </w:rPr>
        <w:t>7</w:t>
      </w:r>
      <w:r w:rsidRPr="00491985">
        <w:rPr>
          <w:rFonts w:cs="Arial"/>
          <w:sz w:val="24"/>
          <w:szCs w:val="24"/>
        </w:rPr>
        <w:t>; and</w:t>
      </w:r>
    </w:p>
    <w:p w14:paraId="18A3C3CA" w14:textId="77777777" w:rsidR="00FF6976" w:rsidRPr="00491985" w:rsidRDefault="00FF6976" w:rsidP="00FF6976">
      <w:pPr>
        <w:pStyle w:val="ListParagraph"/>
        <w:ind w:left="1276"/>
        <w:contextualSpacing w:val="0"/>
        <w:jc w:val="both"/>
        <w:rPr>
          <w:rFonts w:cs="Arial"/>
          <w:sz w:val="24"/>
          <w:szCs w:val="24"/>
        </w:rPr>
      </w:pPr>
    </w:p>
    <w:p w14:paraId="5D9AEAC2" w14:textId="1B9AD30B" w:rsidR="00FF6976" w:rsidRPr="00491985" w:rsidRDefault="00FF6976" w:rsidP="006A2F03">
      <w:pPr>
        <w:pStyle w:val="ListParagraph"/>
        <w:numPr>
          <w:ilvl w:val="0"/>
          <w:numId w:val="18"/>
        </w:numPr>
        <w:ind w:left="1134" w:hanging="283"/>
        <w:contextualSpacing w:val="0"/>
        <w:jc w:val="both"/>
        <w:rPr>
          <w:rFonts w:cs="Arial"/>
          <w:sz w:val="24"/>
          <w:szCs w:val="24"/>
        </w:rPr>
      </w:pPr>
      <w:r w:rsidRPr="00491985">
        <w:rPr>
          <w:rFonts w:cs="Arial"/>
          <w:sz w:val="24"/>
          <w:szCs w:val="24"/>
        </w:rPr>
        <w:t>The Operational Boundary for External Debt (the limit beyond which external debt is not normally expected to exceed), £</w:t>
      </w:r>
      <w:r w:rsidR="00491985" w:rsidRPr="00491985">
        <w:rPr>
          <w:rFonts w:cs="Arial"/>
          <w:sz w:val="24"/>
          <w:szCs w:val="24"/>
        </w:rPr>
        <w:t>19.7m</w:t>
      </w:r>
      <w:r w:rsidRPr="00491985">
        <w:rPr>
          <w:rFonts w:cs="Arial"/>
          <w:sz w:val="24"/>
          <w:szCs w:val="24"/>
        </w:rPr>
        <w:t xml:space="preserve"> in 202</w:t>
      </w:r>
      <w:r w:rsidR="00786C9C" w:rsidRPr="00491985">
        <w:rPr>
          <w:rFonts w:cs="Arial"/>
          <w:sz w:val="24"/>
          <w:szCs w:val="24"/>
        </w:rPr>
        <w:t>6</w:t>
      </w:r>
      <w:r w:rsidRPr="00491985">
        <w:rPr>
          <w:rFonts w:cs="Arial"/>
          <w:sz w:val="24"/>
          <w:szCs w:val="24"/>
        </w:rPr>
        <w:t>/2</w:t>
      </w:r>
      <w:r w:rsidR="00786C9C" w:rsidRPr="00491985">
        <w:rPr>
          <w:rFonts w:cs="Arial"/>
          <w:sz w:val="24"/>
          <w:szCs w:val="24"/>
        </w:rPr>
        <w:t>7</w:t>
      </w:r>
      <w:r w:rsidRPr="00491985">
        <w:rPr>
          <w:rFonts w:cs="Arial"/>
          <w:sz w:val="24"/>
          <w:szCs w:val="24"/>
        </w:rPr>
        <w:t>.</w:t>
      </w:r>
    </w:p>
    <w:p w14:paraId="112E1BFE" w14:textId="31108889" w:rsidR="00FF6976" w:rsidRPr="001533EE" w:rsidRDefault="00FF6976" w:rsidP="00FF6976">
      <w:pPr>
        <w:pStyle w:val="ListParagraph"/>
        <w:ind w:left="0"/>
        <w:contextualSpacing w:val="0"/>
        <w:jc w:val="both"/>
        <w:rPr>
          <w:rFonts w:cs="Arial"/>
          <w:sz w:val="24"/>
          <w:szCs w:val="24"/>
        </w:rPr>
      </w:pPr>
    </w:p>
    <w:p w14:paraId="1C74DE33" w14:textId="4F3FB202" w:rsidR="00FF6976" w:rsidRPr="001533EE" w:rsidRDefault="00FF6976" w:rsidP="00FF6976">
      <w:pPr>
        <w:ind w:left="709" w:hanging="709"/>
        <w:rPr>
          <w:rFonts w:cs="Arial"/>
          <w:b/>
          <w:sz w:val="24"/>
          <w:szCs w:val="24"/>
        </w:rPr>
      </w:pPr>
      <w:r w:rsidRPr="001533EE">
        <w:rPr>
          <w:rFonts w:cs="Arial"/>
          <w:sz w:val="24"/>
          <w:szCs w:val="24"/>
        </w:rPr>
        <w:t>2.1</w:t>
      </w:r>
      <w:r w:rsidR="007F22DA">
        <w:rPr>
          <w:rFonts w:cs="Arial"/>
          <w:sz w:val="24"/>
          <w:szCs w:val="24"/>
        </w:rPr>
        <w:t>5</w:t>
      </w:r>
      <w:r w:rsidR="007F22DA">
        <w:rPr>
          <w:rFonts w:cs="Arial"/>
          <w:sz w:val="24"/>
          <w:szCs w:val="24"/>
        </w:rPr>
        <w:tab/>
      </w:r>
      <w:r w:rsidRPr="001533EE">
        <w:rPr>
          <w:rFonts w:cs="Arial"/>
          <w:b/>
          <w:sz w:val="24"/>
          <w:szCs w:val="24"/>
        </w:rPr>
        <w:t>Annual Investment Strategy (See A</w:t>
      </w:r>
      <w:r w:rsidR="001C627A" w:rsidRPr="001533EE">
        <w:rPr>
          <w:rFonts w:cs="Arial"/>
          <w:b/>
          <w:sz w:val="24"/>
          <w:szCs w:val="24"/>
        </w:rPr>
        <w:t>nnex</w:t>
      </w:r>
      <w:r w:rsidRPr="001533EE">
        <w:rPr>
          <w:rFonts w:cs="Arial"/>
          <w:b/>
          <w:sz w:val="24"/>
          <w:szCs w:val="24"/>
        </w:rPr>
        <w:t xml:space="preserve"> </w:t>
      </w:r>
      <w:r w:rsidR="000B3EB6" w:rsidRPr="001533EE">
        <w:rPr>
          <w:rFonts w:cs="Arial"/>
          <w:b/>
          <w:sz w:val="24"/>
          <w:szCs w:val="24"/>
        </w:rPr>
        <w:t>1</w:t>
      </w:r>
      <w:r w:rsidRPr="001533EE">
        <w:rPr>
          <w:rFonts w:cs="Arial"/>
          <w:b/>
          <w:sz w:val="24"/>
          <w:szCs w:val="24"/>
        </w:rPr>
        <w:t xml:space="preserve"> </w:t>
      </w:r>
      <w:r w:rsidR="001C627A" w:rsidRPr="001533EE">
        <w:rPr>
          <w:rFonts w:cs="Arial"/>
          <w:b/>
          <w:sz w:val="24"/>
          <w:szCs w:val="24"/>
        </w:rPr>
        <w:t>-</w:t>
      </w:r>
      <w:r w:rsidRPr="001533EE">
        <w:rPr>
          <w:rFonts w:cs="Arial"/>
          <w:b/>
          <w:sz w:val="24"/>
          <w:szCs w:val="24"/>
        </w:rPr>
        <w:t xml:space="preserve"> Section 4)</w:t>
      </w:r>
    </w:p>
    <w:p w14:paraId="4A7D1827" w14:textId="77777777" w:rsidR="00FF6976" w:rsidRPr="001533EE" w:rsidRDefault="00FF6976" w:rsidP="00FF6976">
      <w:pPr>
        <w:ind w:left="567" w:hanging="567"/>
        <w:rPr>
          <w:rFonts w:cs="Arial"/>
          <w:b/>
          <w:sz w:val="24"/>
          <w:szCs w:val="24"/>
        </w:rPr>
      </w:pPr>
    </w:p>
    <w:p w14:paraId="3C1470E7" w14:textId="5899136D" w:rsidR="00FF6976" w:rsidRPr="001533EE" w:rsidRDefault="00FF6976" w:rsidP="00FF6976">
      <w:pPr>
        <w:ind w:left="709"/>
        <w:jc w:val="both"/>
        <w:rPr>
          <w:rFonts w:cs="Arial"/>
          <w:sz w:val="24"/>
          <w:szCs w:val="24"/>
        </w:rPr>
      </w:pPr>
      <w:r w:rsidRPr="001533EE">
        <w:rPr>
          <w:rFonts w:cs="Arial"/>
          <w:sz w:val="24"/>
          <w:szCs w:val="24"/>
        </w:rPr>
        <w:t>By virtue of the Service Level Agreement with North Yorkshire Council, the Authority has adopted the Annual Investment Strategy of the Council which is embedded within the terms of the agreement and within the services which the Council provides on the Authority’s behalf.  The Annual Investment Strategy details the Council’s Investment Policy and approach to the investment of funds.</w:t>
      </w:r>
    </w:p>
    <w:p w14:paraId="5943E530" w14:textId="77777777" w:rsidR="001C627A" w:rsidRPr="001533EE" w:rsidRDefault="001C627A" w:rsidP="00FF6976">
      <w:pPr>
        <w:pStyle w:val="ListParagraph"/>
        <w:ind w:left="0"/>
        <w:contextualSpacing w:val="0"/>
        <w:jc w:val="both"/>
        <w:rPr>
          <w:rFonts w:cs="Arial"/>
          <w:sz w:val="24"/>
          <w:szCs w:val="24"/>
        </w:rPr>
      </w:pPr>
    </w:p>
    <w:p w14:paraId="4903FC91" w14:textId="46CCB56E" w:rsidR="001C627A" w:rsidRPr="001533EE" w:rsidRDefault="001C627A" w:rsidP="001C627A">
      <w:pPr>
        <w:ind w:left="709" w:hanging="709"/>
        <w:rPr>
          <w:rFonts w:cs="Arial"/>
          <w:b/>
          <w:bCs/>
          <w:spacing w:val="-5"/>
          <w:sz w:val="24"/>
          <w:szCs w:val="24"/>
          <w:lang w:eastAsia="en-US"/>
        </w:rPr>
      </w:pPr>
      <w:r w:rsidRPr="001533EE">
        <w:rPr>
          <w:rFonts w:cs="Arial"/>
          <w:spacing w:val="-5"/>
          <w:sz w:val="24"/>
          <w:szCs w:val="24"/>
          <w:lang w:eastAsia="en-US"/>
        </w:rPr>
        <w:lastRenderedPageBreak/>
        <w:t>2.</w:t>
      </w:r>
      <w:r w:rsidR="007F22DA">
        <w:rPr>
          <w:rFonts w:cs="Arial"/>
          <w:spacing w:val="-5"/>
          <w:sz w:val="24"/>
          <w:szCs w:val="24"/>
          <w:lang w:eastAsia="en-US"/>
        </w:rPr>
        <w:t>16</w:t>
      </w:r>
      <w:r w:rsidR="007F22DA">
        <w:rPr>
          <w:rFonts w:cs="Arial"/>
          <w:spacing w:val="-5"/>
          <w:sz w:val="24"/>
          <w:szCs w:val="24"/>
          <w:lang w:eastAsia="en-US"/>
        </w:rPr>
        <w:tab/>
      </w:r>
      <w:r w:rsidRPr="001533EE">
        <w:rPr>
          <w:rFonts w:cs="Arial"/>
          <w:b/>
          <w:bCs/>
          <w:spacing w:val="-5"/>
          <w:sz w:val="24"/>
          <w:szCs w:val="24"/>
          <w:lang w:eastAsia="en-US"/>
        </w:rPr>
        <w:t xml:space="preserve">Treasury Management Strategy Statement Appendices (See Appendices A - </w:t>
      </w:r>
      <w:r w:rsidR="00C10C5B">
        <w:rPr>
          <w:rFonts w:cs="Arial"/>
          <w:b/>
          <w:bCs/>
          <w:spacing w:val="-5"/>
          <w:sz w:val="24"/>
          <w:szCs w:val="24"/>
          <w:lang w:eastAsia="en-US"/>
        </w:rPr>
        <w:t>D</w:t>
      </w:r>
      <w:r w:rsidRPr="001533EE">
        <w:rPr>
          <w:rFonts w:cs="Arial"/>
          <w:b/>
          <w:bCs/>
          <w:spacing w:val="-5"/>
          <w:sz w:val="24"/>
          <w:szCs w:val="24"/>
          <w:lang w:eastAsia="en-US"/>
        </w:rPr>
        <w:t>)</w:t>
      </w:r>
    </w:p>
    <w:p w14:paraId="38FD2DED" w14:textId="77777777" w:rsidR="001C627A" w:rsidRPr="001533EE" w:rsidRDefault="001C627A" w:rsidP="001C627A">
      <w:pPr>
        <w:ind w:left="567" w:hanging="567"/>
        <w:rPr>
          <w:rFonts w:cs="Arial"/>
          <w:spacing w:val="-5"/>
          <w:sz w:val="24"/>
          <w:szCs w:val="24"/>
          <w:lang w:eastAsia="en-US"/>
        </w:rPr>
      </w:pPr>
    </w:p>
    <w:p w14:paraId="30EB5FE5" w14:textId="11AD2FA0" w:rsidR="00C323E1" w:rsidRPr="001533EE" w:rsidRDefault="00C323E1" w:rsidP="00C323E1">
      <w:pPr>
        <w:ind w:left="2268" w:hanging="1559"/>
        <w:rPr>
          <w:rFonts w:cs="Arial"/>
          <w:sz w:val="24"/>
          <w:szCs w:val="24"/>
        </w:rPr>
      </w:pPr>
      <w:bookmarkStart w:id="3" w:name="_Hlk125462837"/>
      <w:r w:rsidRPr="001533EE">
        <w:rPr>
          <w:rFonts w:cs="Arial"/>
          <w:sz w:val="24"/>
          <w:szCs w:val="24"/>
        </w:rPr>
        <w:t>Appendix A</w:t>
      </w:r>
      <w:r w:rsidRPr="001533EE">
        <w:rPr>
          <w:rFonts w:cs="Arial"/>
          <w:sz w:val="24"/>
          <w:szCs w:val="24"/>
        </w:rPr>
        <w:tab/>
        <w:t>The Capital Prudential and Treasury Indicators 202</w:t>
      </w:r>
      <w:r w:rsidR="005406BE">
        <w:rPr>
          <w:rFonts w:cs="Arial"/>
          <w:sz w:val="24"/>
          <w:szCs w:val="24"/>
        </w:rPr>
        <w:t>6</w:t>
      </w:r>
      <w:r w:rsidRPr="001533EE">
        <w:rPr>
          <w:rFonts w:cs="Arial"/>
          <w:sz w:val="24"/>
          <w:szCs w:val="24"/>
        </w:rPr>
        <w:t>/2</w:t>
      </w:r>
      <w:r w:rsidR="005406BE">
        <w:rPr>
          <w:rFonts w:cs="Arial"/>
          <w:sz w:val="24"/>
          <w:szCs w:val="24"/>
        </w:rPr>
        <w:t>7</w:t>
      </w:r>
      <w:r w:rsidRPr="001533EE">
        <w:rPr>
          <w:rFonts w:cs="Arial"/>
          <w:sz w:val="24"/>
          <w:szCs w:val="24"/>
        </w:rPr>
        <w:t xml:space="preserve"> </w:t>
      </w:r>
      <w:r w:rsidR="007B7E32" w:rsidRPr="001533EE">
        <w:rPr>
          <w:rFonts w:cs="Arial"/>
          <w:sz w:val="24"/>
          <w:szCs w:val="24"/>
        </w:rPr>
        <w:t>to</w:t>
      </w:r>
      <w:r w:rsidRPr="001533EE">
        <w:rPr>
          <w:rFonts w:cs="Arial"/>
          <w:sz w:val="24"/>
          <w:szCs w:val="24"/>
        </w:rPr>
        <w:t xml:space="preserve"> 202</w:t>
      </w:r>
      <w:r w:rsidR="005406BE">
        <w:rPr>
          <w:rFonts w:cs="Arial"/>
          <w:sz w:val="24"/>
          <w:szCs w:val="24"/>
        </w:rPr>
        <w:t>8</w:t>
      </w:r>
      <w:r w:rsidRPr="001533EE">
        <w:rPr>
          <w:rFonts w:cs="Arial"/>
          <w:sz w:val="24"/>
          <w:szCs w:val="24"/>
        </w:rPr>
        <w:t>/2</w:t>
      </w:r>
      <w:r w:rsidR="005406BE">
        <w:rPr>
          <w:rFonts w:cs="Arial"/>
          <w:sz w:val="24"/>
          <w:szCs w:val="24"/>
        </w:rPr>
        <w:t>9</w:t>
      </w:r>
    </w:p>
    <w:p w14:paraId="06BD6609" w14:textId="24DFF9D9" w:rsidR="00C323E1" w:rsidRPr="001533EE" w:rsidRDefault="00C323E1" w:rsidP="00672E77">
      <w:pPr>
        <w:ind w:left="2268" w:hanging="1559"/>
        <w:rPr>
          <w:rFonts w:cs="Arial"/>
          <w:sz w:val="24"/>
          <w:szCs w:val="24"/>
        </w:rPr>
      </w:pPr>
      <w:r w:rsidRPr="001533EE">
        <w:rPr>
          <w:rFonts w:cs="Arial"/>
          <w:sz w:val="24"/>
          <w:szCs w:val="24"/>
        </w:rPr>
        <w:t>Appendix B</w:t>
      </w:r>
      <w:r w:rsidRPr="001533EE">
        <w:rPr>
          <w:rFonts w:cs="Arial"/>
          <w:sz w:val="24"/>
          <w:szCs w:val="24"/>
        </w:rPr>
        <w:tab/>
        <w:t>Approved Lending List</w:t>
      </w:r>
    </w:p>
    <w:p w14:paraId="3E879DA1" w14:textId="3E498790" w:rsidR="00C323E1" w:rsidRPr="001533EE" w:rsidRDefault="00C323E1" w:rsidP="00C323E1">
      <w:pPr>
        <w:ind w:left="2268" w:hanging="1559"/>
        <w:rPr>
          <w:rFonts w:cs="Arial"/>
          <w:sz w:val="24"/>
          <w:szCs w:val="24"/>
        </w:rPr>
      </w:pPr>
      <w:r w:rsidRPr="001533EE">
        <w:rPr>
          <w:rFonts w:cs="Arial"/>
          <w:sz w:val="24"/>
          <w:szCs w:val="24"/>
        </w:rPr>
        <w:t xml:space="preserve">Appendix </w:t>
      </w:r>
      <w:r w:rsidR="00672E77" w:rsidRPr="001533EE">
        <w:rPr>
          <w:rFonts w:cs="Arial"/>
          <w:sz w:val="24"/>
          <w:szCs w:val="24"/>
        </w:rPr>
        <w:t>C</w:t>
      </w:r>
      <w:r w:rsidRPr="001533EE">
        <w:rPr>
          <w:rFonts w:cs="Arial"/>
          <w:sz w:val="24"/>
          <w:szCs w:val="24"/>
        </w:rPr>
        <w:tab/>
        <w:t>Treasury Management Scheme of Delegation</w:t>
      </w:r>
    </w:p>
    <w:p w14:paraId="73B6EF3E" w14:textId="682B03A7" w:rsidR="00C323E1" w:rsidRPr="001533EE" w:rsidRDefault="00C323E1" w:rsidP="00C323E1">
      <w:pPr>
        <w:ind w:left="2268" w:hanging="1559"/>
        <w:rPr>
          <w:rFonts w:cs="Arial"/>
          <w:sz w:val="24"/>
          <w:szCs w:val="24"/>
        </w:rPr>
      </w:pPr>
      <w:r w:rsidRPr="001533EE">
        <w:rPr>
          <w:rFonts w:cs="Arial"/>
          <w:sz w:val="24"/>
          <w:szCs w:val="24"/>
        </w:rPr>
        <w:t xml:space="preserve">Appendix </w:t>
      </w:r>
      <w:r w:rsidR="00672E77" w:rsidRPr="001533EE">
        <w:rPr>
          <w:rFonts w:cs="Arial"/>
          <w:sz w:val="24"/>
          <w:szCs w:val="24"/>
        </w:rPr>
        <w:t>D</w:t>
      </w:r>
      <w:r w:rsidRPr="001533EE">
        <w:rPr>
          <w:rFonts w:cs="Arial"/>
          <w:sz w:val="24"/>
          <w:szCs w:val="24"/>
        </w:rPr>
        <w:tab/>
        <w:t xml:space="preserve">The Treasury Management Role of the </w:t>
      </w:r>
      <w:bookmarkStart w:id="4" w:name="_Hlk190339474"/>
      <w:r w:rsidR="0056053B" w:rsidRPr="0056053B">
        <w:rPr>
          <w:rFonts w:cs="Arial"/>
          <w:sz w:val="24"/>
          <w:szCs w:val="24"/>
        </w:rPr>
        <w:t>Assistant Director of Resources Police, Fire and Crime Functions</w:t>
      </w:r>
      <w:r w:rsidR="0056053B">
        <w:rPr>
          <w:rFonts w:cs="Arial"/>
          <w:sz w:val="24"/>
          <w:szCs w:val="24"/>
        </w:rPr>
        <w:t xml:space="preserve"> (Deputy s73 Officer)</w:t>
      </w:r>
      <w:r w:rsidR="0056053B" w:rsidRPr="0056053B">
        <w:rPr>
          <w:rFonts w:cs="Arial"/>
          <w:sz w:val="24"/>
          <w:szCs w:val="24"/>
        </w:rPr>
        <w:t xml:space="preserve"> </w:t>
      </w:r>
      <w:bookmarkEnd w:id="4"/>
    </w:p>
    <w:bookmarkEnd w:id="3"/>
    <w:p w14:paraId="5498D8B7" w14:textId="77777777" w:rsidR="00C323E1" w:rsidRPr="001533EE" w:rsidRDefault="00C323E1" w:rsidP="00663E7D">
      <w:pPr>
        <w:jc w:val="both"/>
        <w:rPr>
          <w:rFonts w:cs="Arial"/>
          <w:b/>
          <w:sz w:val="24"/>
          <w:szCs w:val="24"/>
        </w:rPr>
      </w:pPr>
    </w:p>
    <w:p w14:paraId="3BC08B72" w14:textId="022B9AEC" w:rsidR="001C627A" w:rsidRPr="001533EE" w:rsidRDefault="007F22DA" w:rsidP="001C627A">
      <w:pPr>
        <w:ind w:left="709" w:hanging="709"/>
        <w:rPr>
          <w:rFonts w:cs="Arial"/>
          <w:b/>
          <w:sz w:val="24"/>
          <w:szCs w:val="24"/>
        </w:rPr>
      </w:pPr>
      <w:r>
        <w:rPr>
          <w:rFonts w:cs="Arial"/>
          <w:bCs/>
          <w:sz w:val="24"/>
          <w:szCs w:val="24"/>
        </w:rPr>
        <w:t>2.17</w:t>
      </w:r>
      <w:r>
        <w:rPr>
          <w:rFonts w:cs="Arial"/>
          <w:bCs/>
          <w:sz w:val="24"/>
          <w:szCs w:val="24"/>
        </w:rPr>
        <w:tab/>
      </w:r>
      <w:r w:rsidR="001C627A" w:rsidRPr="001533EE">
        <w:rPr>
          <w:rFonts w:cs="Arial"/>
          <w:b/>
          <w:sz w:val="24"/>
          <w:szCs w:val="24"/>
        </w:rPr>
        <w:t xml:space="preserve">Capital Strategy (See Annex </w:t>
      </w:r>
      <w:r w:rsidR="006B36E3" w:rsidRPr="001533EE">
        <w:rPr>
          <w:rFonts w:cs="Arial"/>
          <w:b/>
          <w:sz w:val="24"/>
          <w:szCs w:val="24"/>
        </w:rPr>
        <w:t>2</w:t>
      </w:r>
      <w:r w:rsidR="001C627A" w:rsidRPr="001533EE">
        <w:rPr>
          <w:rFonts w:cs="Arial"/>
          <w:b/>
          <w:sz w:val="24"/>
          <w:szCs w:val="24"/>
        </w:rPr>
        <w:t>)</w:t>
      </w:r>
    </w:p>
    <w:p w14:paraId="64B27166" w14:textId="77777777" w:rsidR="001C627A" w:rsidRPr="001533EE" w:rsidRDefault="001C627A" w:rsidP="001C627A">
      <w:pPr>
        <w:ind w:left="567" w:hanging="567"/>
        <w:rPr>
          <w:rFonts w:cs="Arial"/>
          <w:b/>
          <w:sz w:val="24"/>
          <w:szCs w:val="24"/>
        </w:rPr>
      </w:pPr>
    </w:p>
    <w:p w14:paraId="2CB53FDB" w14:textId="77777777" w:rsidR="001C627A" w:rsidRPr="001533EE" w:rsidRDefault="001C627A" w:rsidP="001C627A">
      <w:pPr>
        <w:pStyle w:val="ListParagraph"/>
        <w:ind w:left="709"/>
        <w:jc w:val="both"/>
        <w:rPr>
          <w:rFonts w:cs="Arial"/>
          <w:sz w:val="24"/>
          <w:szCs w:val="24"/>
        </w:rPr>
      </w:pPr>
      <w:r w:rsidRPr="001533EE">
        <w:rPr>
          <w:rFonts w:cs="Arial"/>
          <w:sz w:val="24"/>
          <w:szCs w:val="24"/>
        </w:rPr>
        <w:t xml:space="preserve">The Capital Strategy sets out the context of which Capital Expenditure and Investment decisions are made and gives due consideration to both risk and reward and the impact on the achievement of policy outcomes. The Prudential and Treasury Management Codes require all local authorities to prepare a capital strategy report which will provide the following: </w:t>
      </w:r>
    </w:p>
    <w:p w14:paraId="405F7A51" w14:textId="77777777" w:rsidR="001C627A" w:rsidRPr="001533EE" w:rsidRDefault="001C627A" w:rsidP="001C627A">
      <w:pPr>
        <w:jc w:val="both"/>
        <w:rPr>
          <w:rFonts w:cs="Arial"/>
          <w:sz w:val="24"/>
          <w:szCs w:val="24"/>
        </w:rPr>
      </w:pPr>
    </w:p>
    <w:p w14:paraId="29E45363" w14:textId="4037A3DB" w:rsidR="001C627A" w:rsidRPr="001533EE" w:rsidRDefault="001C627A" w:rsidP="006A2F03">
      <w:pPr>
        <w:pStyle w:val="BodyText"/>
        <w:numPr>
          <w:ilvl w:val="0"/>
          <w:numId w:val="19"/>
        </w:numPr>
        <w:ind w:left="1134" w:hanging="283"/>
        <w:rPr>
          <w:rFonts w:cs="Arial"/>
          <w:szCs w:val="24"/>
        </w:rPr>
      </w:pPr>
      <w:r w:rsidRPr="001533EE">
        <w:rPr>
          <w:rFonts w:cs="Arial"/>
          <w:szCs w:val="24"/>
        </w:rPr>
        <w:t xml:space="preserve">a high-level long-term overview of how capital expenditure, capital financing and treasury management activity contribute to the provision of </w:t>
      </w:r>
      <w:r w:rsidR="009E13A7" w:rsidRPr="001533EE">
        <w:rPr>
          <w:rFonts w:cs="Arial"/>
          <w:szCs w:val="24"/>
        </w:rPr>
        <w:t>services.</w:t>
      </w:r>
    </w:p>
    <w:p w14:paraId="375FCE43" w14:textId="77777777" w:rsidR="001C627A" w:rsidRPr="001533EE" w:rsidRDefault="001C627A" w:rsidP="001C627A">
      <w:pPr>
        <w:pStyle w:val="BodyText"/>
        <w:ind w:left="1134"/>
        <w:rPr>
          <w:rFonts w:cs="Arial"/>
          <w:szCs w:val="24"/>
        </w:rPr>
      </w:pPr>
    </w:p>
    <w:p w14:paraId="7178BD40" w14:textId="77777777" w:rsidR="001C627A" w:rsidRPr="001533EE" w:rsidRDefault="001C627A" w:rsidP="006A2F03">
      <w:pPr>
        <w:pStyle w:val="BodyText"/>
        <w:numPr>
          <w:ilvl w:val="0"/>
          <w:numId w:val="19"/>
        </w:numPr>
        <w:ind w:left="1134" w:hanging="283"/>
        <w:rPr>
          <w:rFonts w:cs="Arial"/>
          <w:szCs w:val="24"/>
        </w:rPr>
      </w:pPr>
      <w:r w:rsidRPr="001533EE">
        <w:rPr>
          <w:rFonts w:cs="Arial"/>
          <w:szCs w:val="24"/>
        </w:rPr>
        <w:t>an overview of how the associated risk is managed; and</w:t>
      </w:r>
    </w:p>
    <w:p w14:paraId="40012315" w14:textId="77777777" w:rsidR="001C627A" w:rsidRPr="001533EE" w:rsidRDefault="001C627A" w:rsidP="001C627A">
      <w:pPr>
        <w:pStyle w:val="BodyText"/>
        <w:rPr>
          <w:rFonts w:cs="Arial"/>
          <w:szCs w:val="24"/>
        </w:rPr>
      </w:pPr>
    </w:p>
    <w:p w14:paraId="06ABA696" w14:textId="77777777" w:rsidR="001C627A" w:rsidRPr="001533EE" w:rsidRDefault="001C627A" w:rsidP="006A2F03">
      <w:pPr>
        <w:pStyle w:val="BodyText"/>
        <w:numPr>
          <w:ilvl w:val="0"/>
          <w:numId w:val="19"/>
        </w:numPr>
        <w:ind w:left="1134" w:hanging="283"/>
        <w:rPr>
          <w:rFonts w:cs="Arial"/>
          <w:szCs w:val="24"/>
        </w:rPr>
      </w:pPr>
      <w:r w:rsidRPr="001533EE">
        <w:rPr>
          <w:rFonts w:cs="Arial"/>
          <w:szCs w:val="24"/>
        </w:rPr>
        <w:t>the implications for future financial sustainability.</w:t>
      </w:r>
    </w:p>
    <w:p w14:paraId="022286B0" w14:textId="77777777" w:rsidR="001C627A" w:rsidRPr="001533EE" w:rsidRDefault="001C627A" w:rsidP="001C627A">
      <w:pPr>
        <w:pStyle w:val="BodyText"/>
        <w:ind w:left="567" w:hanging="567"/>
        <w:rPr>
          <w:rFonts w:cs="Arial"/>
          <w:szCs w:val="24"/>
        </w:rPr>
      </w:pPr>
    </w:p>
    <w:p w14:paraId="0195B847" w14:textId="6076D991" w:rsidR="001C627A" w:rsidRPr="001533EE" w:rsidRDefault="001C627A" w:rsidP="001C627A">
      <w:pPr>
        <w:pStyle w:val="BodyText"/>
        <w:ind w:left="709"/>
        <w:rPr>
          <w:rFonts w:cs="Arial"/>
          <w:szCs w:val="24"/>
        </w:rPr>
      </w:pPr>
      <w:r w:rsidRPr="009E13A7">
        <w:rPr>
          <w:rFonts w:cs="Arial"/>
          <w:szCs w:val="24"/>
        </w:rPr>
        <w:t xml:space="preserve">The aim of this capital strategy is to ensure that the </w:t>
      </w:r>
      <w:r w:rsidR="009E13A7" w:rsidRPr="009E13A7">
        <w:rPr>
          <w:rFonts w:cs="Arial"/>
          <w:szCs w:val="24"/>
        </w:rPr>
        <w:t>mayor</w:t>
      </w:r>
      <w:r w:rsidR="00CE3E02" w:rsidRPr="009E13A7">
        <w:rPr>
          <w:rFonts w:cs="Arial"/>
          <w:szCs w:val="24"/>
        </w:rPr>
        <w:t xml:space="preserve"> </w:t>
      </w:r>
      <w:r w:rsidRPr="009E13A7">
        <w:rPr>
          <w:rFonts w:cs="Arial"/>
          <w:szCs w:val="24"/>
        </w:rPr>
        <w:t>and members of Executive Board understand the overall long-term policy objectives and resulting capital strategy requirements, governance procedures and risk appetite.</w:t>
      </w:r>
    </w:p>
    <w:p w14:paraId="719F253F" w14:textId="39F9DED8" w:rsidR="001C627A" w:rsidRPr="001533EE" w:rsidRDefault="001C627A" w:rsidP="001C627A">
      <w:pPr>
        <w:pStyle w:val="subhead"/>
        <w:spacing w:before="0" w:after="0"/>
        <w:rPr>
          <w:rFonts w:eastAsia="Calibri"/>
          <w:b w:val="0"/>
          <w:sz w:val="24"/>
          <w:szCs w:val="24"/>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E6E6E6"/>
        <w:tblLayout w:type="fixed"/>
        <w:tblLook w:val="0000" w:firstRow="0" w:lastRow="0" w:firstColumn="0" w:lastColumn="0" w:noHBand="0" w:noVBand="0"/>
      </w:tblPr>
      <w:tblGrid>
        <w:gridCol w:w="10348"/>
      </w:tblGrid>
      <w:tr w:rsidR="001C627A" w:rsidRPr="001533EE" w14:paraId="2AF04A68" w14:textId="77777777" w:rsidTr="00A111F0">
        <w:trPr>
          <w:trHeight w:val="1350"/>
        </w:trPr>
        <w:tc>
          <w:tcPr>
            <w:tcW w:w="10348" w:type="dxa"/>
            <w:shd w:val="clear" w:color="000000" w:fill="E6E6E6"/>
            <w:vAlign w:val="center"/>
          </w:tcPr>
          <w:p w14:paraId="0164C612" w14:textId="20E7805A" w:rsidR="001C627A" w:rsidRPr="001533EE" w:rsidRDefault="00672E77" w:rsidP="00A111F0">
            <w:pPr>
              <w:jc w:val="both"/>
              <w:rPr>
                <w:rFonts w:cs="Arial"/>
                <w:b/>
                <w:sz w:val="24"/>
                <w:szCs w:val="24"/>
              </w:rPr>
            </w:pPr>
            <w:r w:rsidRPr="001533EE">
              <w:rPr>
                <w:rFonts w:cs="Arial"/>
                <w:b/>
                <w:sz w:val="24"/>
                <w:szCs w:val="24"/>
              </w:rPr>
              <w:t>3</w:t>
            </w:r>
            <w:r w:rsidR="001C627A" w:rsidRPr="001533EE">
              <w:rPr>
                <w:rFonts w:cs="Arial"/>
                <w:b/>
                <w:sz w:val="24"/>
                <w:szCs w:val="24"/>
              </w:rPr>
              <w:t>.0</w:t>
            </w:r>
            <w:r w:rsidR="001C627A" w:rsidRPr="001533EE">
              <w:rPr>
                <w:rFonts w:cs="Arial"/>
                <w:b/>
                <w:sz w:val="24"/>
                <w:szCs w:val="24"/>
              </w:rPr>
              <w:tab/>
            </w:r>
            <w:r w:rsidR="001C627A" w:rsidRPr="001533EE">
              <w:rPr>
                <w:rFonts w:cs="Arial"/>
                <w:b/>
                <w:sz w:val="24"/>
                <w:szCs w:val="24"/>
                <w:u w:val="single"/>
              </w:rPr>
              <w:t>Recommendations</w:t>
            </w:r>
          </w:p>
          <w:p w14:paraId="704238B2" w14:textId="3AF3517D" w:rsidR="001C627A" w:rsidRPr="001533EE" w:rsidRDefault="001C627A" w:rsidP="00A111F0">
            <w:pPr>
              <w:ind w:firstLine="604"/>
              <w:jc w:val="both"/>
              <w:rPr>
                <w:rFonts w:cs="Arial"/>
                <w:sz w:val="24"/>
                <w:szCs w:val="24"/>
              </w:rPr>
            </w:pPr>
            <w:r w:rsidRPr="009E13A7">
              <w:rPr>
                <w:rFonts w:cs="Arial"/>
                <w:sz w:val="24"/>
                <w:szCs w:val="24"/>
              </w:rPr>
              <w:t xml:space="preserve">That the </w:t>
            </w:r>
            <w:r w:rsidR="007C580A" w:rsidRPr="009E13A7">
              <w:rPr>
                <w:rFonts w:cs="Arial"/>
                <w:sz w:val="24"/>
                <w:szCs w:val="24"/>
              </w:rPr>
              <w:t>Mayor</w:t>
            </w:r>
            <w:r w:rsidR="00FD6932">
              <w:rPr>
                <w:rFonts w:cs="Arial"/>
                <w:sz w:val="24"/>
                <w:szCs w:val="24"/>
              </w:rPr>
              <w:t>/Deputy Mayor</w:t>
            </w:r>
            <w:r w:rsidR="007A130D" w:rsidRPr="009E13A7">
              <w:rPr>
                <w:rFonts w:cs="Arial"/>
                <w:sz w:val="24"/>
                <w:szCs w:val="24"/>
              </w:rPr>
              <w:t xml:space="preserve"> </w:t>
            </w:r>
            <w:r w:rsidRPr="009E13A7">
              <w:rPr>
                <w:rFonts w:cs="Arial"/>
                <w:sz w:val="24"/>
                <w:szCs w:val="24"/>
              </w:rPr>
              <w:t>is asked</w:t>
            </w:r>
            <w:r w:rsidRPr="001533EE">
              <w:rPr>
                <w:rFonts w:cs="Arial"/>
                <w:sz w:val="24"/>
                <w:szCs w:val="24"/>
              </w:rPr>
              <w:t xml:space="preserve"> to approve:</w:t>
            </w:r>
          </w:p>
          <w:p w14:paraId="3785E79C" w14:textId="77777777" w:rsidR="001C627A" w:rsidRPr="001533EE" w:rsidRDefault="001C627A" w:rsidP="00A111F0">
            <w:pPr>
              <w:jc w:val="both"/>
              <w:rPr>
                <w:rFonts w:cs="Arial"/>
                <w:sz w:val="24"/>
                <w:szCs w:val="24"/>
              </w:rPr>
            </w:pPr>
          </w:p>
          <w:p w14:paraId="27130CF0" w14:textId="499BAD72" w:rsidR="001C627A" w:rsidRDefault="00672E77" w:rsidP="00A111F0">
            <w:pPr>
              <w:ind w:left="604" w:right="176" w:hanging="567"/>
              <w:jc w:val="both"/>
              <w:rPr>
                <w:rFonts w:cs="Arial"/>
                <w:spacing w:val="-5"/>
                <w:sz w:val="24"/>
                <w:szCs w:val="24"/>
                <w:lang w:eastAsia="en-US"/>
              </w:rPr>
            </w:pPr>
            <w:r w:rsidRPr="001533EE">
              <w:rPr>
                <w:rFonts w:cs="Arial"/>
                <w:spacing w:val="-5"/>
                <w:sz w:val="24"/>
                <w:szCs w:val="24"/>
                <w:lang w:eastAsia="en-US"/>
              </w:rPr>
              <w:t>3</w:t>
            </w:r>
            <w:r w:rsidR="001C627A" w:rsidRPr="001533EE">
              <w:rPr>
                <w:rFonts w:cs="Arial"/>
                <w:spacing w:val="-5"/>
                <w:sz w:val="24"/>
                <w:szCs w:val="24"/>
                <w:lang w:eastAsia="en-US"/>
              </w:rPr>
              <w:t xml:space="preserve">.1  </w:t>
            </w:r>
            <w:r w:rsidR="001C4555" w:rsidRPr="001533EE">
              <w:rPr>
                <w:rFonts w:cs="Arial"/>
                <w:spacing w:val="-5"/>
                <w:sz w:val="24"/>
                <w:szCs w:val="24"/>
                <w:lang w:eastAsia="en-US"/>
              </w:rPr>
              <w:t xml:space="preserve">  </w:t>
            </w:r>
            <w:r w:rsidR="00E537D7" w:rsidRPr="001533EE">
              <w:rPr>
                <w:rFonts w:cs="Arial"/>
                <w:spacing w:val="-5"/>
                <w:sz w:val="24"/>
                <w:szCs w:val="24"/>
                <w:lang w:eastAsia="en-US"/>
              </w:rPr>
              <w:t>The Treasury</w:t>
            </w:r>
            <w:r w:rsidR="001C627A" w:rsidRPr="001533EE">
              <w:rPr>
                <w:rFonts w:cs="Arial"/>
                <w:spacing w:val="-5"/>
                <w:sz w:val="24"/>
                <w:szCs w:val="24"/>
                <w:lang w:eastAsia="en-US"/>
              </w:rPr>
              <w:t xml:space="preserve"> Management Strategy Statement </w:t>
            </w:r>
            <w:r w:rsidR="006B36E3" w:rsidRPr="001533EE">
              <w:rPr>
                <w:rFonts w:cs="Arial"/>
                <w:spacing w:val="-5"/>
                <w:sz w:val="24"/>
                <w:szCs w:val="24"/>
                <w:lang w:eastAsia="en-US"/>
              </w:rPr>
              <w:t>(</w:t>
            </w:r>
            <w:r w:rsidR="001C627A" w:rsidRPr="001533EE">
              <w:rPr>
                <w:rFonts w:cs="Arial"/>
                <w:b/>
                <w:bCs/>
                <w:spacing w:val="-5"/>
                <w:sz w:val="24"/>
                <w:szCs w:val="24"/>
                <w:lang w:eastAsia="en-US"/>
              </w:rPr>
              <w:t>Annex 1</w:t>
            </w:r>
            <w:r w:rsidR="006B36E3" w:rsidRPr="001533EE">
              <w:rPr>
                <w:rFonts w:cs="Arial"/>
                <w:spacing w:val="-5"/>
                <w:sz w:val="24"/>
                <w:szCs w:val="24"/>
                <w:lang w:eastAsia="en-US"/>
              </w:rPr>
              <w:t>)</w:t>
            </w:r>
            <w:r w:rsidR="001C627A" w:rsidRPr="001533EE">
              <w:rPr>
                <w:rFonts w:cs="Arial"/>
                <w:spacing w:val="-5"/>
                <w:sz w:val="24"/>
                <w:szCs w:val="24"/>
                <w:lang w:eastAsia="en-US"/>
              </w:rPr>
              <w:t xml:space="preserve">, consisting of the Annual Treasury Management Strategy </w:t>
            </w:r>
            <w:r w:rsidR="001C627A" w:rsidRPr="001533EE">
              <w:rPr>
                <w:rFonts w:cs="Arial"/>
                <w:b/>
                <w:bCs/>
                <w:spacing w:val="-5"/>
                <w:sz w:val="24"/>
                <w:szCs w:val="24"/>
                <w:lang w:eastAsia="en-US"/>
              </w:rPr>
              <w:t>(Section 1),</w:t>
            </w:r>
            <w:r w:rsidR="001C627A" w:rsidRPr="001533EE">
              <w:rPr>
                <w:rFonts w:cs="Arial"/>
                <w:spacing w:val="-5"/>
                <w:sz w:val="24"/>
                <w:szCs w:val="24"/>
                <w:lang w:eastAsia="en-US"/>
              </w:rPr>
              <w:t xml:space="preserve"> Capital Prudential Indicators (</w:t>
            </w:r>
            <w:r w:rsidR="001C627A" w:rsidRPr="001533EE">
              <w:rPr>
                <w:rFonts w:cs="Arial"/>
                <w:b/>
                <w:spacing w:val="-5"/>
                <w:sz w:val="24"/>
                <w:szCs w:val="24"/>
                <w:lang w:eastAsia="en-US"/>
              </w:rPr>
              <w:t>Section 2</w:t>
            </w:r>
            <w:r w:rsidR="001C627A" w:rsidRPr="001533EE">
              <w:rPr>
                <w:rFonts w:cs="Arial"/>
                <w:spacing w:val="-5"/>
                <w:sz w:val="24"/>
                <w:szCs w:val="24"/>
                <w:lang w:eastAsia="en-US"/>
              </w:rPr>
              <w:t xml:space="preserve">), Borrowing Strategy </w:t>
            </w:r>
            <w:r w:rsidR="001C627A" w:rsidRPr="001533EE">
              <w:rPr>
                <w:rFonts w:cs="Arial"/>
                <w:b/>
                <w:bCs/>
                <w:spacing w:val="-5"/>
                <w:sz w:val="24"/>
                <w:szCs w:val="24"/>
                <w:lang w:eastAsia="en-US"/>
              </w:rPr>
              <w:t>(Section 3)</w:t>
            </w:r>
            <w:r w:rsidR="001C627A" w:rsidRPr="001533EE">
              <w:rPr>
                <w:rFonts w:cs="Arial"/>
                <w:spacing w:val="-5"/>
                <w:sz w:val="24"/>
                <w:szCs w:val="24"/>
                <w:lang w:eastAsia="en-US"/>
              </w:rPr>
              <w:t xml:space="preserve"> and Annual Investment Strategy </w:t>
            </w:r>
            <w:r w:rsidR="001C627A" w:rsidRPr="0054171B">
              <w:rPr>
                <w:rFonts w:cs="Arial"/>
                <w:spacing w:val="-5"/>
                <w:sz w:val="24"/>
                <w:szCs w:val="24"/>
                <w:lang w:eastAsia="en-US"/>
              </w:rPr>
              <w:t>202</w:t>
            </w:r>
            <w:r w:rsidR="005406BE">
              <w:rPr>
                <w:rFonts w:cs="Arial"/>
                <w:spacing w:val="-5"/>
                <w:sz w:val="24"/>
                <w:szCs w:val="24"/>
                <w:lang w:eastAsia="en-US"/>
              </w:rPr>
              <w:t>6</w:t>
            </w:r>
            <w:r w:rsidR="001C627A" w:rsidRPr="0054171B">
              <w:rPr>
                <w:rFonts w:cs="Arial"/>
                <w:spacing w:val="-5"/>
                <w:sz w:val="24"/>
                <w:szCs w:val="24"/>
                <w:lang w:eastAsia="en-US"/>
              </w:rPr>
              <w:t>/2</w:t>
            </w:r>
            <w:r w:rsidR="005406BE">
              <w:rPr>
                <w:rFonts w:cs="Arial"/>
                <w:spacing w:val="-5"/>
                <w:sz w:val="24"/>
                <w:szCs w:val="24"/>
                <w:lang w:eastAsia="en-US"/>
              </w:rPr>
              <w:t>7</w:t>
            </w:r>
            <w:r w:rsidR="001C627A" w:rsidRPr="001533EE">
              <w:rPr>
                <w:rFonts w:cs="Arial"/>
                <w:spacing w:val="-5"/>
                <w:sz w:val="24"/>
                <w:szCs w:val="24"/>
                <w:lang w:eastAsia="en-US"/>
              </w:rPr>
              <w:t xml:space="preserve"> (</w:t>
            </w:r>
            <w:r w:rsidR="001C627A" w:rsidRPr="001533EE">
              <w:rPr>
                <w:rFonts w:cs="Arial"/>
                <w:b/>
                <w:spacing w:val="-5"/>
                <w:sz w:val="24"/>
                <w:szCs w:val="24"/>
                <w:lang w:eastAsia="en-US"/>
              </w:rPr>
              <w:t>Section 4</w:t>
            </w:r>
            <w:r w:rsidR="001C627A" w:rsidRPr="001533EE">
              <w:rPr>
                <w:rFonts w:cs="Arial"/>
                <w:spacing w:val="-5"/>
                <w:sz w:val="24"/>
                <w:szCs w:val="24"/>
                <w:lang w:eastAsia="en-US"/>
              </w:rPr>
              <w:t xml:space="preserve">), </w:t>
            </w:r>
            <w:r w:rsidR="00FD6932" w:rsidRPr="001533EE">
              <w:rPr>
                <w:rFonts w:cs="Arial"/>
                <w:spacing w:val="-5"/>
                <w:sz w:val="24"/>
                <w:szCs w:val="24"/>
                <w:lang w:eastAsia="en-US"/>
              </w:rPr>
              <w:t>including.</w:t>
            </w:r>
          </w:p>
          <w:p w14:paraId="4B932038" w14:textId="77777777" w:rsidR="00FD6932" w:rsidRPr="001533EE" w:rsidRDefault="00FD6932" w:rsidP="00A111F0">
            <w:pPr>
              <w:ind w:left="604" w:right="176" w:hanging="567"/>
              <w:jc w:val="both"/>
              <w:rPr>
                <w:rFonts w:cs="Arial"/>
                <w:spacing w:val="-5"/>
                <w:sz w:val="24"/>
                <w:szCs w:val="24"/>
                <w:lang w:eastAsia="en-US"/>
              </w:rPr>
            </w:pPr>
          </w:p>
          <w:p w14:paraId="68140B97" w14:textId="1D0B3128" w:rsidR="001C627A" w:rsidRPr="00491985" w:rsidRDefault="001C627A" w:rsidP="006A2F03">
            <w:pPr>
              <w:pStyle w:val="ListParagraph"/>
              <w:numPr>
                <w:ilvl w:val="0"/>
                <w:numId w:val="7"/>
              </w:numPr>
              <w:ind w:left="1429" w:hanging="400"/>
              <w:contextualSpacing w:val="0"/>
              <w:jc w:val="both"/>
              <w:rPr>
                <w:rFonts w:cs="Arial"/>
                <w:spacing w:val="-5"/>
                <w:sz w:val="24"/>
                <w:szCs w:val="24"/>
                <w:lang w:eastAsia="en-US"/>
              </w:rPr>
            </w:pPr>
            <w:r w:rsidRPr="00491985">
              <w:rPr>
                <w:rFonts w:cs="Arial"/>
                <w:sz w:val="24"/>
                <w:szCs w:val="24"/>
              </w:rPr>
              <w:t xml:space="preserve">an </w:t>
            </w:r>
            <w:r w:rsidRPr="00491985">
              <w:rPr>
                <w:rFonts w:cs="Arial"/>
                <w:spacing w:val="-5"/>
                <w:sz w:val="24"/>
                <w:szCs w:val="24"/>
                <w:lang w:eastAsia="en-US"/>
              </w:rPr>
              <w:t>authorised limit for external debt of £</w:t>
            </w:r>
            <w:r w:rsidR="00491985" w:rsidRPr="00491985">
              <w:rPr>
                <w:rFonts w:cs="Arial"/>
                <w:spacing w:val="-5"/>
                <w:sz w:val="24"/>
                <w:szCs w:val="24"/>
                <w:lang w:eastAsia="en-US"/>
              </w:rPr>
              <w:t>20.7</w:t>
            </w:r>
            <w:r w:rsidRPr="00491985">
              <w:rPr>
                <w:rFonts w:cs="Arial"/>
                <w:spacing w:val="-5"/>
                <w:sz w:val="24"/>
                <w:szCs w:val="24"/>
                <w:lang w:eastAsia="en-US"/>
              </w:rPr>
              <w:t>m in 202</w:t>
            </w:r>
            <w:r w:rsidR="00786C9C" w:rsidRPr="00491985">
              <w:rPr>
                <w:rFonts w:cs="Arial"/>
                <w:spacing w:val="-5"/>
                <w:sz w:val="24"/>
                <w:szCs w:val="24"/>
                <w:lang w:eastAsia="en-US"/>
              </w:rPr>
              <w:t>6</w:t>
            </w:r>
            <w:r w:rsidRPr="00491985">
              <w:rPr>
                <w:rFonts w:cs="Arial"/>
                <w:spacing w:val="-5"/>
                <w:sz w:val="24"/>
                <w:szCs w:val="24"/>
                <w:lang w:eastAsia="en-US"/>
              </w:rPr>
              <w:t>/2</w:t>
            </w:r>
            <w:r w:rsidR="00786C9C" w:rsidRPr="00491985">
              <w:rPr>
                <w:rFonts w:cs="Arial"/>
                <w:spacing w:val="-5"/>
                <w:sz w:val="24"/>
                <w:szCs w:val="24"/>
                <w:lang w:eastAsia="en-US"/>
              </w:rPr>
              <w:t>7</w:t>
            </w:r>
          </w:p>
          <w:p w14:paraId="22C89B33" w14:textId="77777777" w:rsidR="00786C9C" w:rsidRPr="00491985" w:rsidRDefault="00786C9C" w:rsidP="00786C9C">
            <w:pPr>
              <w:pStyle w:val="ListParagraph"/>
              <w:ind w:left="1429"/>
              <w:contextualSpacing w:val="0"/>
              <w:jc w:val="both"/>
              <w:rPr>
                <w:rFonts w:cs="Arial"/>
                <w:spacing w:val="-5"/>
                <w:sz w:val="24"/>
                <w:szCs w:val="24"/>
                <w:lang w:eastAsia="en-US"/>
              </w:rPr>
            </w:pPr>
          </w:p>
          <w:p w14:paraId="76D9B29D" w14:textId="7434A493" w:rsidR="001C627A" w:rsidRPr="00491985" w:rsidRDefault="001C627A" w:rsidP="006A2F03">
            <w:pPr>
              <w:pStyle w:val="ListParagraph"/>
              <w:numPr>
                <w:ilvl w:val="0"/>
                <w:numId w:val="7"/>
              </w:numPr>
              <w:ind w:left="1429" w:hanging="400"/>
              <w:contextualSpacing w:val="0"/>
              <w:jc w:val="both"/>
              <w:rPr>
                <w:rFonts w:cs="Arial"/>
                <w:spacing w:val="-5"/>
                <w:sz w:val="24"/>
                <w:szCs w:val="24"/>
                <w:lang w:eastAsia="en-US"/>
              </w:rPr>
            </w:pPr>
            <w:r w:rsidRPr="00491985">
              <w:rPr>
                <w:rFonts w:cs="Arial"/>
                <w:spacing w:val="-5"/>
                <w:sz w:val="24"/>
                <w:szCs w:val="24"/>
                <w:lang w:eastAsia="en-US"/>
              </w:rPr>
              <w:t>an operational boundary for external debt of £</w:t>
            </w:r>
            <w:r w:rsidR="00491985" w:rsidRPr="00491985">
              <w:rPr>
                <w:rFonts w:cs="Arial"/>
                <w:spacing w:val="-5"/>
                <w:sz w:val="24"/>
                <w:szCs w:val="24"/>
                <w:lang w:eastAsia="en-US"/>
              </w:rPr>
              <w:t>19.7</w:t>
            </w:r>
            <w:r w:rsidRPr="00491985">
              <w:rPr>
                <w:rFonts w:cs="Arial"/>
                <w:spacing w:val="-5"/>
                <w:sz w:val="24"/>
                <w:szCs w:val="24"/>
                <w:lang w:eastAsia="en-US"/>
              </w:rPr>
              <w:t>m in 202</w:t>
            </w:r>
            <w:r w:rsidR="00786C9C" w:rsidRPr="00491985">
              <w:rPr>
                <w:rFonts w:cs="Arial"/>
                <w:spacing w:val="-5"/>
                <w:sz w:val="24"/>
                <w:szCs w:val="24"/>
                <w:lang w:eastAsia="en-US"/>
              </w:rPr>
              <w:t>6</w:t>
            </w:r>
            <w:r w:rsidRPr="00491985">
              <w:rPr>
                <w:rFonts w:cs="Arial"/>
                <w:spacing w:val="-5"/>
                <w:sz w:val="24"/>
                <w:szCs w:val="24"/>
                <w:lang w:eastAsia="en-US"/>
              </w:rPr>
              <w:t>/2</w:t>
            </w:r>
            <w:r w:rsidR="00786C9C" w:rsidRPr="00491985">
              <w:rPr>
                <w:rFonts w:cs="Arial"/>
                <w:spacing w:val="-5"/>
                <w:sz w:val="24"/>
                <w:szCs w:val="24"/>
                <w:lang w:eastAsia="en-US"/>
              </w:rPr>
              <w:t>7</w:t>
            </w:r>
          </w:p>
          <w:p w14:paraId="18A629F9" w14:textId="77777777" w:rsidR="001C627A" w:rsidRPr="009E13A7" w:rsidRDefault="001C627A" w:rsidP="00A111F0">
            <w:pPr>
              <w:pStyle w:val="ListParagraph"/>
              <w:rPr>
                <w:rFonts w:cs="Arial"/>
                <w:spacing w:val="-5"/>
                <w:sz w:val="24"/>
                <w:szCs w:val="24"/>
                <w:lang w:eastAsia="en-US"/>
              </w:rPr>
            </w:pPr>
          </w:p>
          <w:p w14:paraId="39A4EF87" w14:textId="77777777" w:rsidR="001C627A" w:rsidRPr="001533EE" w:rsidRDefault="001C627A" w:rsidP="006A2F03">
            <w:pPr>
              <w:pStyle w:val="ListParagraph"/>
              <w:numPr>
                <w:ilvl w:val="0"/>
                <w:numId w:val="7"/>
              </w:numPr>
              <w:ind w:left="1429" w:hanging="400"/>
              <w:contextualSpacing w:val="0"/>
              <w:jc w:val="both"/>
              <w:rPr>
                <w:rFonts w:cs="Arial"/>
                <w:sz w:val="24"/>
                <w:szCs w:val="24"/>
              </w:rPr>
            </w:pPr>
            <w:r w:rsidRPr="001533EE">
              <w:rPr>
                <w:rFonts w:cs="Arial"/>
                <w:sz w:val="24"/>
                <w:szCs w:val="24"/>
              </w:rPr>
              <w:t>the Prudential and Treasury Indicators</w:t>
            </w:r>
          </w:p>
          <w:p w14:paraId="0785DF1F" w14:textId="77777777" w:rsidR="001C627A" w:rsidRPr="001533EE" w:rsidRDefault="001C627A" w:rsidP="00A111F0">
            <w:pPr>
              <w:pStyle w:val="ListParagraph"/>
              <w:rPr>
                <w:rFonts w:cs="Arial"/>
                <w:sz w:val="24"/>
                <w:szCs w:val="24"/>
              </w:rPr>
            </w:pPr>
          </w:p>
          <w:p w14:paraId="35CD49E8" w14:textId="3D37508B" w:rsidR="001C627A" w:rsidRPr="001533EE" w:rsidRDefault="001C627A" w:rsidP="006A2F03">
            <w:pPr>
              <w:pStyle w:val="ListParagraph"/>
              <w:numPr>
                <w:ilvl w:val="0"/>
                <w:numId w:val="7"/>
              </w:numPr>
              <w:ind w:left="1429" w:hanging="400"/>
              <w:contextualSpacing w:val="0"/>
              <w:jc w:val="both"/>
              <w:rPr>
                <w:rFonts w:cs="Arial"/>
                <w:sz w:val="24"/>
                <w:szCs w:val="24"/>
              </w:rPr>
            </w:pPr>
            <w:r w:rsidRPr="001533EE">
              <w:rPr>
                <w:rFonts w:cs="Arial"/>
                <w:sz w:val="24"/>
                <w:szCs w:val="24"/>
              </w:rPr>
              <w:t>a limit of 20</w:t>
            </w:r>
            <w:r w:rsidRPr="00B55944">
              <w:rPr>
                <w:rFonts w:cs="Arial"/>
                <w:sz w:val="24"/>
                <w:szCs w:val="24"/>
              </w:rPr>
              <w:t>% (estimated at £</w:t>
            </w:r>
            <w:r w:rsidR="005406BE" w:rsidRPr="00B55944">
              <w:rPr>
                <w:rFonts w:cs="Arial"/>
                <w:sz w:val="24"/>
                <w:szCs w:val="24"/>
              </w:rPr>
              <w:t>4.</w:t>
            </w:r>
            <w:r w:rsidR="00B55944" w:rsidRPr="00B55944">
              <w:rPr>
                <w:rFonts w:cs="Arial"/>
                <w:sz w:val="24"/>
                <w:szCs w:val="24"/>
              </w:rPr>
              <w:t>8</w:t>
            </w:r>
            <w:r w:rsidR="009E13A7" w:rsidRPr="00B55944">
              <w:rPr>
                <w:rFonts w:cs="Arial"/>
                <w:sz w:val="24"/>
                <w:szCs w:val="24"/>
              </w:rPr>
              <w:t>m</w:t>
            </w:r>
            <w:r w:rsidRPr="00B55944">
              <w:rPr>
                <w:rFonts w:cs="Arial"/>
                <w:sz w:val="24"/>
                <w:szCs w:val="24"/>
              </w:rPr>
              <w:t>) of</w:t>
            </w:r>
            <w:r w:rsidRPr="001533EE">
              <w:rPr>
                <w:rFonts w:cs="Arial"/>
                <w:sz w:val="24"/>
                <w:szCs w:val="24"/>
              </w:rPr>
              <w:t xml:space="preserve"> the overall balances can be considered for longer term investments over 365 days subject to comparative yields on short term investments</w:t>
            </w:r>
          </w:p>
          <w:p w14:paraId="1F99121D" w14:textId="77777777" w:rsidR="001C627A" w:rsidRPr="001533EE" w:rsidRDefault="001C627A" w:rsidP="00A111F0">
            <w:pPr>
              <w:pStyle w:val="ListParagraph"/>
              <w:rPr>
                <w:rFonts w:cs="Arial"/>
                <w:sz w:val="24"/>
                <w:szCs w:val="24"/>
              </w:rPr>
            </w:pPr>
          </w:p>
          <w:p w14:paraId="4E58AB4A" w14:textId="3EDE96C1" w:rsidR="001C627A" w:rsidRPr="001533EE" w:rsidRDefault="001C627A" w:rsidP="006A2F03">
            <w:pPr>
              <w:pStyle w:val="ListParagraph"/>
              <w:numPr>
                <w:ilvl w:val="0"/>
                <w:numId w:val="7"/>
              </w:numPr>
              <w:ind w:left="1429" w:hanging="400"/>
              <w:contextualSpacing w:val="0"/>
              <w:jc w:val="both"/>
              <w:rPr>
                <w:rFonts w:cs="Arial"/>
                <w:sz w:val="24"/>
                <w:szCs w:val="24"/>
              </w:rPr>
            </w:pPr>
            <w:r w:rsidRPr="001533EE">
              <w:rPr>
                <w:rFonts w:cs="Arial"/>
                <w:sz w:val="24"/>
                <w:szCs w:val="24"/>
              </w:rPr>
              <w:t>a Minimum Revenue Provision (MRP) policy for debt repayment to be charged to revenue in 202</w:t>
            </w:r>
            <w:r w:rsidR="005406BE">
              <w:rPr>
                <w:rFonts w:cs="Arial"/>
                <w:sz w:val="24"/>
                <w:szCs w:val="24"/>
              </w:rPr>
              <w:t>6</w:t>
            </w:r>
            <w:r w:rsidRPr="001533EE">
              <w:rPr>
                <w:rFonts w:cs="Arial"/>
                <w:sz w:val="24"/>
                <w:szCs w:val="24"/>
              </w:rPr>
              <w:t>/2</w:t>
            </w:r>
            <w:r w:rsidR="005406BE">
              <w:rPr>
                <w:rFonts w:cs="Arial"/>
                <w:sz w:val="24"/>
                <w:szCs w:val="24"/>
              </w:rPr>
              <w:t>7</w:t>
            </w:r>
            <w:r w:rsidRPr="001533EE">
              <w:rPr>
                <w:rFonts w:cs="Arial"/>
                <w:sz w:val="24"/>
                <w:szCs w:val="24"/>
              </w:rPr>
              <w:t xml:space="preserve"> as set out in </w:t>
            </w:r>
            <w:r w:rsidR="00663E7D" w:rsidRPr="001533EE">
              <w:rPr>
                <w:rFonts w:cs="Arial"/>
                <w:b/>
                <w:bCs/>
                <w:sz w:val="24"/>
                <w:szCs w:val="24"/>
              </w:rPr>
              <w:t xml:space="preserve">Annex 1 - </w:t>
            </w:r>
            <w:r w:rsidR="006B36E3" w:rsidRPr="001533EE">
              <w:rPr>
                <w:rFonts w:cs="Arial"/>
                <w:b/>
                <w:bCs/>
                <w:sz w:val="24"/>
                <w:szCs w:val="24"/>
              </w:rPr>
              <w:t>Section 2</w:t>
            </w:r>
            <w:r w:rsidRPr="001533EE">
              <w:rPr>
                <w:rFonts w:cs="Arial"/>
                <w:b/>
                <w:sz w:val="24"/>
                <w:szCs w:val="24"/>
              </w:rPr>
              <w:t xml:space="preserve"> </w:t>
            </w:r>
          </w:p>
          <w:p w14:paraId="3AB01E09" w14:textId="77777777" w:rsidR="001C627A" w:rsidRPr="001533EE" w:rsidRDefault="001C627A" w:rsidP="00A111F0">
            <w:pPr>
              <w:pStyle w:val="ListParagraph"/>
              <w:ind w:left="0"/>
              <w:contextualSpacing w:val="0"/>
              <w:jc w:val="both"/>
              <w:rPr>
                <w:rFonts w:cs="Arial"/>
                <w:sz w:val="24"/>
                <w:szCs w:val="24"/>
              </w:rPr>
            </w:pPr>
          </w:p>
          <w:p w14:paraId="117D052E" w14:textId="494A1EA5" w:rsidR="001C627A" w:rsidRPr="001533EE" w:rsidRDefault="001C627A" w:rsidP="006A2F03">
            <w:pPr>
              <w:pStyle w:val="ListParagraph"/>
              <w:numPr>
                <w:ilvl w:val="0"/>
                <w:numId w:val="7"/>
              </w:numPr>
              <w:ind w:left="1429" w:hanging="400"/>
              <w:contextualSpacing w:val="0"/>
              <w:jc w:val="both"/>
              <w:rPr>
                <w:rFonts w:cs="Arial"/>
                <w:sz w:val="24"/>
                <w:szCs w:val="24"/>
              </w:rPr>
            </w:pPr>
            <w:r w:rsidRPr="001533EE">
              <w:rPr>
                <w:rFonts w:cs="Arial"/>
                <w:sz w:val="24"/>
                <w:szCs w:val="24"/>
              </w:rPr>
              <w:t xml:space="preserve">the Capital Strategy as attached as </w:t>
            </w:r>
            <w:r w:rsidRPr="001533EE">
              <w:rPr>
                <w:rFonts w:cs="Arial"/>
                <w:b/>
                <w:bCs/>
                <w:sz w:val="24"/>
                <w:szCs w:val="24"/>
              </w:rPr>
              <w:t>A</w:t>
            </w:r>
            <w:r w:rsidR="006B36E3" w:rsidRPr="001533EE">
              <w:rPr>
                <w:rFonts w:cs="Arial"/>
                <w:b/>
                <w:bCs/>
                <w:sz w:val="24"/>
                <w:szCs w:val="24"/>
              </w:rPr>
              <w:t>nnex 2</w:t>
            </w:r>
          </w:p>
          <w:p w14:paraId="043C7B40" w14:textId="77777777" w:rsidR="001C627A" w:rsidRPr="001533EE" w:rsidRDefault="001C627A" w:rsidP="00A111F0">
            <w:pPr>
              <w:pStyle w:val="ListParagraph"/>
              <w:rPr>
                <w:rFonts w:cs="Arial"/>
                <w:sz w:val="24"/>
                <w:szCs w:val="24"/>
              </w:rPr>
            </w:pPr>
          </w:p>
          <w:p w14:paraId="7E054335" w14:textId="6FC5C7ED" w:rsidR="001C627A" w:rsidRPr="001533EE" w:rsidRDefault="001C627A" w:rsidP="006A2F03">
            <w:pPr>
              <w:pStyle w:val="ListParagraph"/>
              <w:numPr>
                <w:ilvl w:val="0"/>
                <w:numId w:val="7"/>
              </w:numPr>
              <w:ind w:left="1429" w:hanging="400"/>
              <w:contextualSpacing w:val="0"/>
              <w:jc w:val="both"/>
              <w:rPr>
                <w:rFonts w:cs="Arial"/>
                <w:color w:val="FF0000"/>
                <w:sz w:val="24"/>
                <w:szCs w:val="24"/>
              </w:rPr>
            </w:pPr>
            <w:r w:rsidRPr="001533EE">
              <w:rPr>
                <w:rFonts w:cs="Arial"/>
                <w:sz w:val="24"/>
                <w:szCs w:val="24"/>
              </w:rPr>
              <w:t xml:space="preserve">the </w:t>
            </w:r>
            <w:r w:rsidR="009E13A7">
              <w:rPr>
                <w:rFonts w:cs="Arial"/>
                <w:sz w:val="24"/>
                <w:szCs w:val="24"/>
              </w:rPr>
              <w:t xml:space="preserve">Deputy S73 Officer </w:t>
            </w:r>
            <w:r w:rsidRPr="001533EE">
              <w:rPr>
                <w:rFonts w:cs="Arial"/>
                <w:sz w:val="24"/>
                <w:szCs w:val="24"/>
              </w:rPr>
              <w:t>report to th</w:t>
            </w:r>
            <w:r w:rsidR="007B7E32" w:rsidRPr="001533EE">
              <w:rPr>
                <w:rFonts w:cs="Arial"/>
                <w:sz w:val="24"/>
                <w:szCs w:val="24"/>
              </w:rPr>
              <w:t>ose charged with governance</w:t>
            </w:r>
            <w:r w:rsidRPr="001533EE">
              <w:rPr>
                <w:rFonts w:cs="Arial"/>
                <w:sz w:val="24"/>
                <w:szCs w:val="24"/>
              </w:rPr>
              <w:t xml:space="preserve"> in respect of in year</w:t>
            </w:r>
            <w:r w:rsidR="007A130D">
              <w:rPr>
                <w:rFonts w:cs="Arial"/>
                <w:sz w:val="24"/>
                <w:szCs w:val="24"/>
              </w:rPr>
              <w:t xml:space="preserve"> </w:t>
            </w:r>
            <w:r w:rsidRPr="001533EE">
              <w:rPr>
                <w:rFonts w:cs="Arial"/>
                <w:sz w:val="24"/>
                <w:szCs w:val="24"/>
              </w:rPr>
              <w:t>Treasury Management issues</w:t>
            </w:r>
          </w:p>
        </w:tc>
      </w:tr>
    </w:tbl>
    <w:p w14:paraId="48E6F042" w14:textId="77777777" w:rsidR="005406BE" w:rsidRDefault="005406BE" w:rsidP="00016A73">
      <w:pPr>
        <w:tabs>
          <w:tab w:val="left" w:pos="993"/>
        </w:tabs>
        <w:jc w:val="right"/>
        <w:rPr>
          <w:rFonts w:cs="Arial"/>
          <w:b/>
          <w:sz w:val="24"/>
          <w:szCs w:val="24"/>
        </w:rPr>
      </w:pPr>
    </w:p>
    <w:p w14:paraId="21B11D90" w14:textId="77777777" w:rsidR="005406BE" w:rsidRDefault="005406BE" w:rsidP="00016A73">
      <w:pPr>
        <w:tabs>
          <w:tab w:val="left" w:pos="993"/>
        </w:tabs>
        <w:jc w:val="right"/>
        <w:rPr>
          <w:rFonts w:cs="Arial"/>
          <w:b/>
          <w:sz w:val="24"/>
          <w:szCs w:val="24"/>
        </w:rPr>
      </w:pPr>
    </w:p>
    <w:p w14:paraId="67D25958" w14:textId="77777777" w:rsidR="005406BE" w:rsidRDefault="005406BE" w:rsidP="00016A73">
      <w:pPr>
        <w:tabs>
          <w:tab w:val="left" w:pos="993"/>
        </w:tabs>
        <w:jc w:val="right"/>
        <w:rPr>
          <w:rFonts w:cs="Arial"/>
          <w:b/>
          <w:sz w:val="24"/>
          <w:szCs w:val="24"/>
        </w:rPr>
      </w:pPr>
    </w:p>
    <w:p w14:paraId="0B49550B" w14:textId="77777777" w:rsidR="005406BE" w:rsidRDefault="005406BE" w:rsidP="00016A73">
      <w:pPr>
        <w:tabs>
          <w:tab w:val="left" w:pos="993"/>
        </w:tabs>
        <w:jc w:val="right"/>
        <w:rPr>
          <w:rFonts w:cs="Arial"/>
          <w:b/>
          <w:sz w:val="24"/>
          <w:szCs w:val="24"/>
        </w:rPr>
      </w:pPr>
    </w:p>
    <w:p w14:paraId="0D6AAA8F" w14:textId="0BBA75E4" w:rsidR="001C627A" w:rsidRPr="001533EE" w:rsidRDefault="001C627A" w:rsidP="00016A73">
      <w:pPr>
        <w:tabs>
          <w:tab w:val="left" w:pos="993"/>
        </w:tabs>
        <w:jc w:val="right"/>
        <w:rPr>
          <w:rFonts w:cs="Arial"/>
          <w:b/>
          <w:sz w:val="24"/>
          <w:szCs w:val="24"/>
        </w:rPr>
      </w:pPr>
      <w:r w:rsidRPr="001533EE">
        <w:rPr>
          <w:rFonts w:cs="Arial"/>
          <w:b/>
          <w:sz w:val="24"/>
          <w:szCs w:val="24"/>
        </w:rPr>
        <w:t xml:space="preserve">ANNEX </w:t>
      </w:r>
      <w:r w:rsidR="000B3EB6" w:rsidRPr="001533EE">
        <w:rPr>
          <w:rFonts w:cs="Arial"/>
          <w:b/>
          <w:sz w:val="24"/>
          <w:szCs w:val="24"/>
        </w:rPr>
        <w:t>1</w:t>
      </w:r>
    </w:p>
    <w:p w14:paraId="2BAC10A1" w14:textId="77777777" w:rsidR="00C323E1" w:rsidRPr="001533EE" w:rsidRDefault="00C323E1" w:rsidP="001C627A">
      <w:pPr>
        <w:tabs>
          <w:tab w:val="left" w:pos="993"/>
        </w:tabs>
        <w:jc w:val="right"/>
        <w:rPr>
          <w:rFonts w:cs="Arial"/>
          <w:b/>
          <w:sz w:val="24"/>
          <w:szCs w:val="24"/>
        </w:rPr>
      </w:pPr>
    </w:p>
    <w:p w14:paraId="3E5B9843" w14:textId="31403DE7" w:rsidR="001C627A" w:rsidRPr="001533EE" w:rsidRDefault="003B529F" w:rsidP="00C323E1">
      <w:pPr>
        <w:tabs>
          <w:tab w:val="left" w:pos="709"/>
        </w:tabs>
        <w:rPr>
          <w:rFonts w:cs="Arial"/>
          <w:b/>
          <w:sz w:val="24"/>
          <w:szCs w:val="24"/>
        </w:rPr>
      </w:pPr>
      <w:r w:rsidRPr="001533EE">
        <w:rPr>
          <w:rFonts w:cs="Arial"/>
          <w:b/>
          <w:bCs/>
          <w:sz w:val="24"/>
          <w:szCs w:val="24"/>
        </w:rPr>
        <w:t>1.0</w:t>
      </w:r>
      <w:r w:rsidRPr="001533EE">
        <w:rPr>
          <w:rFonts w:cs="Arial"/>
          <w:b/>
          <w:bCs/>
          <w:sz w:val="24"/>
          <w:szCs w:val="24"/>
        </w:rPr>
        <w:tab/>
      </w:r>
      <w:r w:rsidR="00C323E1" w:rsidRPr="001533EE">
        <w:rPr>
          <w:rFonts w:cs="Arial"/>
          <w:b/>
          <w:bCs/>
          <w:sz w:val="24"/>
          <w:szCs w:val="24"/>
        </w:rPr>
        <w:t>SECTION 1 - TREASURY MANAGEMENT STRATEGY 202</w:t>
      </w:r>
      <w:r w:rsidR="005406BE">
        <w:rPr>
          <w:rFonts w:cs="Arial"/>
          <w:b/>
          <w:bCs/>
          <w:sz w:val="24"/>
          <w:szCs w:val="24"/>
        </w:rPr>
        <w:t>6</w:t>
      </w:r>
      <w:r w:rsidR="00C323E1" w:rsidRPr="001533EE">
        <w:rPr>
          <w:rFonts w:cs="Arial"/>
          <w:b/>
          <w:bCs/>
          <w:sz w:val="24"/>
          <w:szCs w:val="24"/>
        </w:rPr>
        <w:t>/2</w:t>
      </w:r>
      <w:r w:rsidR="005406BE">
        <w:rPr>
          <w:rFonts w:cs="Arial"/>
          <w:b/>
          <w:bCs/>
          <w:sz w:val="24"/>
          <w:szCs w:val="24"/>
        </w:rPr>
        <w:t>7</w:t>
      </w:r>
    </w:p>
    <w:p w14:paraId="663122A7" w14:textId="77777777" w:rsidR="001C627A" w:rsidRPr="001533EE" w:rsidRDefault="001C627A" w:rsidP="001C627A">
      <w:pPr>
        <w:tabs>
          <w:tab w:val="left" w:pos="993"/>
        </w:tabs>
        <w:rPr>
          <w:rFonts w:cs="Arial"/>
          <w:b/>
          <w:sz w:val="24"/>
          <w:szCs w:val="24"/>
        </w:rPr>
      </w:pPr>
    </w:p>
    <w:p w14:paraId="5835848C" w14:textId="392D6673" w:rsidR="0065473F" w:rsidRPr="001533EE" w:rsidRDefault="00C323E1" w:rsidP="0065473F">
      <w:pPr>
        <w:pStyle w:val="BodyText"/>
        <w:ind w:left="709" w:hanging="709"/>
        <w:rPr>
          <w:rFonts w:cs="Arial"/>
          <w:szCs w:val="24"/>
        </w:rPr>
      </w:pPr>
      <w:r w:rsidRPr="001533EE">
        <w:rPr>
          <w:rFonts w:cs="Arial"/>
          <w:szCs w:val="24"/>
        </w:rPr>
        <w:t>1</w:t>
      </w:r>
      <w:r w:rsidR="0065473F" w:rsidRPr="001533EE">
        <w:rPr>
          <w:rFonts w:cs="Arial"/>
          <w:szCs w:val="24"/>
        </w:rPr>
        <w:t>.</w:t>
      </w:r>
      <w:r w:rsidR="00672E77" w:rsidRPr="001533EE">
        <w:rPr>
          <w:rFonts w:cs="Arial"/>
          <w:szCs w:val="24"/>
        </w:rPr>
        <w:t>1</w:t>
      </w:r>
      <w:r w:rsidR="0065473F" w:rsidRPr="001533EE">
        <w:rPr>
          <w:rFonts w:cs="Arial"/>
          <w:szCs w:val="24"/>
        </w:rPr>
        <w:tab/>
        <w:t>The Treasury Management strategy for 202</w:t>
      </w:r>
      <w:r w:rsidR="00786C9C">
        <w:rPr>
          <w:rFonts w:cs="Arial"/>
          <w:szCs w:val="24"/>
        </w:rPr>
        <w:t>6</w:t>
      </w:r>
      <w:r w:rsidR="0065473F" w:rsidRPr="001533EE">
        <w:rPr>
          <w:rFonts w:cs="Arial"/>
          <w:szCs w:val="24"/>
        </w:rPr>
        <w:t>/2</w:t>
      </w:r>
      <w:r w:rsidR="00786C9C">
        <w:rPr>
          <w:rFonts w:cs="Arial"/>
          <w:szCs w:val="24"/>
        </w:rPr>
        <w:t>7</w:t>
      </w:r>
      <w:r w:rsidR="0065473F" w:rsidRPr="001533EE">
        <w:rPr>
          <w:rFonts w:cs="Arial"/>
          <w:szCs w:val="24"/>
        </w:rPr>
        <w:t xml:space="preserve"> covers two main areas:</w:t>
      </w:r>
    </w:p>
    <w:p w14:paraId="182AE373" w14:textId="77777777" w:rsidR="0065473F" w:rsidRPr="001533EE" w:rsidRDefault="0065473F" w:rsidP="0065473F">
      <w:pPr>
        <w:pStyle w:val="BodyText"/>
        <w:ind w:left="567" w:hanging="567"/>
        <w:rPr>
          <w:rFonts w:cs="Arial"/>
          <w:szCs w:val="24"/>
        </w:rPr>
      </w:pPr>
    </w:p>
    <w:p w14:paraId="40647E88" w14:textId="77777777" w:rsidR="0065473F" w:rsidRPr="001533EE" w:rsidRDefault="0065473F" w:rsidP="006A2F03">
      <w:pPr>
        <w:pStyle w:val="BodyText"/>
        <w:numPr>
          <w:ilvl w:val="1"/>
          <w:numId w:val="17"/>
        </w:numPr>
        <w:ind w:left="1134" w:hanging="425"/>
        <w:rPr>
          <w:rFonts w:cs="Arial"/>
          <w:b/>
          <w:szCs w:val="24"/>
        </w:rPr>
      </w:pPr>
      <w:r w:rsidRPr="001533EE">
        <w:rPr>
          <w:rFonts w:cs="Arial"/>
          <w:b/>
          <w:szCs w:val="24"/>
        </w:rPr>
        <w:t>Capital issues</w:t>
      </w:r>
    </w:p>
    <w:p w14:paraId="6A56F362" w14:textId="77777777" w:rsidR="0065473F" w:rsidRPr="001533EE" w:rsidRDefault="0065473F" w:rsidP="006A2F03">
      <w:pPr>
        <w:pStyle w:val="ListParagraph"/>
        <w:numPr>
          <w:ilvl w:val="2"/>
          <w:numId w:val="12"/>
        </w:numPr>
        <w:ind w:left="1418" w:hanging="284"/>
        <w:contextualSpacing w:val="0"/>
        <w:jc w:val="both"/>
        <w:rPr>
          <w:rFonts w:cs="Arial"/>
          <w:sz w:val="24"/>
          <w:szCs w:val="24"/>
        </w:rPr>
      </w:pPr>
      <w:r w:rsidRPr="001533EE">
        <w:rPr>
          <w:rFonts w:cs="Arial"/>
          <w:sz w:val="24"/>
          <w:szCs w:val="24"/>
        </w:rPr>
        <w:t>the capital expenditure plans and the associated prudential indicators; and</w:t>
      </w:r>
    </w:p>
    <w:p w14:paraId="24C3D77C" w14:textId="3F4437D2" w:rsidR="0065473F" w:rsidRPr="001533EE" w:rsidRDefault="0065473F" w:rsidP="006A2F03">
      <w:pPr>
        <w:pStyle w:val="ListParagraph"/>
        <w:numPr>
          <w:ilvl w:val="2"/>
          <w:numId w:val="12"/>
        </w:numPr>
        <w:ind w:left="1418" w:hanging="284"/>
        <w:contextualSpacing w:val="0"/>
        <w:rPr>
          <w:rFonts w:cs="Arial"/>
          <w:sz w:val="24"/>
          <w:szCs w:val="24"/>
        </w:rPr>
      </w:pPr>
      <w:r w:rsidRPr="001533EE">
        <w:rPr>
          <w:rFonts w:cs="Arial"/>
          <w:sz w:val="24"/>
          <w:szCs w:val="24"/>
        </w:rPr>
        <w:t>the Minimum Revenue Provision (MRP) policy.</w:t>
      </w:r>
    </w:p>
    <w:p w14:paraId="07001DD7" w14:textId="77777777" w:rsidR="0065473F" w:rsidRPr="001533EE" w:rsidRDefault="0065473F" w:rsidP="0065473F">
      <w:pPr>
        <w:pStyle w:val="ListParagraph"/>
        <w:ind w:left="1440"/>
        <w:contextualSpacing w:val="0"/>
        <w:rPr>
          <w:rFonts w:cs="Arial"/>
          <w:sz w:val="24"/>
          <w:szCs w:val="24"/>
        </w:rPr>
      </w:pPr>
    </w:p>
    <w:p w14:paraId="7BA08451" w14:textId="5FD2374E" w:rsidR="0065473F" w:rsidRPr="001533EE" w:rsidRDefault="0065473F" w:rsidP="006A2F03">
      <w:pPr>
        <w:pStyle w:val="ListParagraph"/>
        <w:numPr>
          <w:ilvl w:val="0"/>
          <w:numId w:val="12"/>
        </w:numPr>
        <w:ind w:left="709" w:firstLine="0"/>
        <w:contextualSpacing w:val="0"/>
        <w:rPr>
          <w:rFonts w:cs="Arial"/>
          <w:sz w:val="24"/>
          <w:szCs w:val="24"/>
        </w:rPr>
      </w:pPr>
      <w:r w:rsidRPr="001533EE">
        <w:rPr>
          <w:rFonts w:cs="Arial"/>
          <w:b/>
          <w:sz w:val="24"/>
          <w:szCs w:val="24"/>
        </w:rPr>
        <w:t xml:space="preserve">Treasury </w:t>
      </w:r>
      <w:r w:rsidR="00672E77" w:rsidRPr="001533EE">
        <w:rPr>
          <w:rFonts w:cs="Arial"/>
          <w:b/>
          <w:sz w:val="24"/>
          <w:szCs w:val="24"/>
        </w:rPr>
        <w:t>M</w:t>
      </w:r>
      <w:r w:rsidRPr="001533EE">
        <w:rPr>
          <w:rFonts w:cs="Arial"/>
          <w:b/>
          <w:sz w:val="24"/>
          <w:szCs w:val="24"/>
        </w:rPr>
        <w:t>anagement issues</w:t>
      </w:r>
    </w:p>
    <w:p w14:paraId="580108DE" w14:textId="7DA6222B" w:rsidR="0065473F" w:rsidRPr="001533EE" w:rsidRDefault="0065473F" w:rsidP="006A2F03">
      <w:pPr>
        <w:numPr>
          <w:ilvl w:val="2"/>
          <w:numId w:val="13"/>
        </w:numPr>
        <w:ind w:left="1418" w:hanging="284"/>
        <w:jc w:val="both"/>
        <w:rPr>
          <w:rFonts w:cs="Arial"/>
          <w:sz w:val="24"/>
          <w:szCs w:val="24"/>
        </w:rPr>
      </w:pPr>
      <w:r w:rsidRPr="001533EE">
        <w:rPr>
          <w:rFonts w:cs="Arial"/>
          <w:sz w:val="24"/>
          <w:szCs w:val="24"/>
        </w:rPr>
        <w:t xml:space="preserve">the current treasury </w:t>
      </w:r>
      <w:r w:rsidR="009E13A7" w:rsidRPr="001533EE">
        <w:rPr>
          <w:rFonts w:cs="Arial"/>
          <w:sz w:val="24"/>
          <w:szCs w:val="24"/>
        </w:rPr>
        <w:t>position.</w:t>
      </w:r>
    </w:p>
    <w:p w14:paraId="3ABE06CA" w14:textId="296F8484" w:rsidR="0065473F" w:rsidRPr="001533EE" w:rsidRDefault="0065473F" w:rsidP="006A2F03">
      <w:pPr>
        <w:numPr>
          <w:ilvl w:val="2"/>
          <w:numId w:val="13"/>
        </w:numPr>
        <w:ind w:left="1418" w:hanging="284"/>
        <w:jc w:val="both"/>
        <w:rPr>
          <w:rFonts w:cs="Arial"/>
          <w:sz w:val="24"/>
          <w:szCs w:val="24"/>
        </w:rPr>
      </w:pPr>
      <w:r w:rsidRPr="001533EE">
        <w:rPr>
          <w:rFonts w:cs="Arial"/>
          <w:sz w:val="24"/>
          <w:szCs w:val="24"/>
        </w:rPr>
        <w:t xml:space="preserve">treasury indicators which limit the treasury risk and activities of the </w:t>
      </w:r>
      <w:r w:rsidR="009E13A7" w:rsidRPr="001533EE">
        <w:rPr>
          <w:rFonts w:cs="Arial"/>
          <w:sz w:val="24"/>
          <w:szCs w:val="24"/>
        </w:rPr>
        <w:t>Authority.</w:t>
      </w:r>
    </w:p>
    <w:p w14:paraId="27173A91" w14:textId="234B1F53" w:rsidR="0065473F" w:rsidRPr="001533EE" w:rsidRDefault="0065473F" w:rsidP="006A2F03">
      <w:pPr>
        <w:numPr>
          <w:ilvl w:val="2"/>
          <w:numId w:val="13"/>
        </w:numPr>
        <w:ind w:left="1418" w:hanging="284"/>
        <w:jc w:val="both"/>
        <w:rPr>
          <w:rFonts w:cs="Arial"/>
          <w:sz w:val="24"/>
          <w:szCs w:val="24"/>
        </w:rPr>
      </w:pPr>
      <w:r w:rsidRPr="001533EE">
        <w:rPr>
          <w:rFonts w:cs="Arial"/>
          <w:sz w:val="24"/>
          <w:szCs w:val="24"/>
        </w:rPr>
        <w:t xml:space="preserve">prospects for interest </w:t>
      </w:r>
      <w:r w:rsidR="009E13A7" w:rsidRPr="001533EE">
        <w:rPr>
          <w:rFonts w:cs="Arial"/>
          <w:sz w:val="24"/>
          <w:szCs w:val="24"/>
        </w:rPr>
        <w:t>rates.</w:t>
      </w:r>
    </w:p>
    <w:p w14:paraId="412E9595" w14:textId="7E8A3B4C" w:rsidR="0065473F" w:rsidRPr="001533EE" w:rsidRDefault="0065473F" w:rsidP="006A2F03">
      <w:pPr>
        <w:numPr>
          <w:ilvl w:val="2"/>
          <w:numId w:val="13"/>
        </w:numPr>
        <w:ind w:left="1418" w:hanging="284"/>
        <w:rPr>
          <w:rFonts w:cs="Arial"/>
          <w:sz w:val="24"/>
          <w:szCs w:val="24"/>
        </w:rPr>
      </w:pPr>
      <w:r w:rsidRPr="001533EE">
        <w:rPr>
          <w:rFonts w:cs="Arial"/>
          <w:sz w:val="24"/>
          <w:szCs w:val="24"/>
        </w:rPr>
        <w:t xml:space="preserve">the borrowing </w:t>
      </w:r>
      <w:r w:rsidR="009E13A7" w:rsidRPr="001533EE">
        <w:rPr>
          <w:rFonts w:cs="Arial"/>
          <w:sz w:val="24"/>
          <w:szCs w:val="24"/>
        </w:rPr>
        <w:t>strategy.</w:t>
      </w:r>
    </w:p>
    <w:p w14:paraId="332D44DB" w14:textId="00F64EB0" w:rsidR="0065473F" w:rsidRPr="001533EE" w:rsidRDefault="0065473F" w:rsidP="006A2F03">
      <w:pPr>
        <w:numPr>
          <w:ilvl w:val="2"/>
          <w:numId w:val="13"/>
        </w:numPr>
        <w:ind w:left="1418" w:hanging="284"/>
        <w:rPr>
          <w:rFonts w:cs="Arial"/>
          <w:sz w:val="24"/>
          <w:szCs w:val="24"/>
        </w:rPr>
      </w:pPr>
      <w:r w:rsidRPr="001533EE">
        <w:rPr>
          <w:rFonts w:cs="Arial"/>
          <w:sz w:val="24"/>
          <w:szCs w:val="24"/>
        </w:rPr>
        <w:t xml:space="preserve">policy on borrowing in advance of </w:t>
      </w:r>
      <w:r w:rsidR="009E13A7" w:rsidRPr="001533EE">
        <w:rPr>
          <w:rFonts w:cs="Arial"/>
          <w:sz w:val="24"/>
          <w:szCs w:val="24"/>
        </w:rPr>
        <w:t>need.</w:t>
      </w:r>
    </w:p>
    <w:p w14:paraId="6AB74339" w14:textId="0F25842D" w:rsidR="0065473F" w:rsidRPr="001533EE" w:rsidRDefault="0065473F" w:rsidP="006A2F03">
      <w:pPr>
        <w:numPr>
          <w:ilvl w:val="2"/>
          <w:numId w:val="13"/>
        </w:numPr>
        <w:ind w:left="1418" w:hanging="284"/>
        <w:rPr>
          <w:rFonts w:cs="Arial"/>
          <w:sz w:val="24"/>
          <w:szCs w:val="24"/>
        </w:rPr>
      </w:pPr>
      <w:r w:rsidRPr="001533EE">
        <w:rPr>
          <w:rFonts w:cs="Arial"/>
          <w:sz w:val="24"/>
          <w:szCs w:val="24"/>
        </w:rPr>
        <w:t xml:space="preserve">debt </w:t>
      </w:r>
      <w:r w:rsidR="009E13A7" w:rsidRPr="001533EE">
        <w:rPr>
          <w:rFonts w:cs="Arial"/>
          <w:sz w:val="24"/>
          <w:szCs w:val="24"/>
        </w:rPr>
        <w:t>rescheduling.</w:t>
      </w:r>
    </w:p>
    <w:p w14:paraId="139ACE5B" w14:textId="69538798" w:rsidR="0065473F" w:rsidRPr="001533EE" w:rsidRDefault="0065473F" w:rsidP="006A2F03">
      <w:pPr>
        <w:numPr>
          <w:ilvl w:val="2"/>
          <w:numId w:val="13"/>
        </w:numPr>
        <w:ind w:left="1418" w:hanging="284"/>
        <w:rPr>
          <w:rFonts w:cs="Arial"/>
          <w:sz w:val="24"/>
          <w:szCs w:val="24"/>
        </w:rPr>
      </w:pPr>
      <w:r w:rsidRPr="001533EE">
        <w:rPr>
          <w:rFonts w:cs="Arial"/>
          <w:sz w:val="24"/>
          <w:szCs w:val="24"/>
        </w:rPr>
        <w:t xml:space="preserve">the investment </w:t>
      </w:r>
      <w:r w:rsidR="009E13A7" w:rsidRPr="001533EE">
        <w:rPr>
          <w:rFonts w:cs="Arial"/>
          <w:sz w:val="24"/>
          <w:szCs w:val="24"/>
        </w:rPr>
        <w:t>strategy.</w:t>
      </w:r>
    </w:p>
    <w:p w14:paraId="34EB3B12" w14:textId="77777777" w:rsidR="0065473F" w:rsidRPr="001533EE" w:rsidRDefault="0065473F" w:rsidP="006A2F03">
      <w:pPr>
        <w:numPr>
          <w:ilvl w:val="2"/>
          <w:numId w:val="13"/>
        </w:numPr>
        <w:ind w:left="1418" w:hanging="284"/>
        <w:rPr>
          <w:rFonts w:cs="Arial"/>
          <w:sz w:val="24"/>
          <w:szCs w:val="24"/>
        </w:rPr>
      </w:pPr>
      <w:r w:rsidRPr="001533EE">
        <w:rPr>
          <w:rFonts w:cs="Arial"/>
          <w:sz w:val="24"/>
          <w:szCs w:val="24"/>
        </w:rPr>
        <w:t>creditworthiness policy; and</w:t>
      </w:r>
    </w:p>
    <w:p w14:paraId="3F45FC5A" w14:textId="77777777" w:rsidR="0065473F" w:rsidRPr="001533EE" w:rsidRDefault="0065473F" w:rsidP="006A2F03">
      <w:pPr>
        <w:numPr>
          <w:ilvl w:val="2"/>
          <w:numId w:val="13"/>
        </w:numPr>
        <w:ind w:left="1418" w:hanging="284"/>
        <w:rPr>
          <w:rFonts w:cs="Arial"/>
          <w:sz w:val="24"/>
          <w:szCs w:val="24"/>
        </w:rPr>
      </w:pPr>
      <w:r w:rsidRPr="001533EE">
        <w:rPr>
          <w:rFonts w:cs="Arial"/>
          <w:sz w:val="24"/>
          <w:szCs w:val="24"/>
        </w:rPr>
        <w:t>the policy on use of external service providers.</w:t>
      </w:r>
    </w:p>
    <w:p w14:paraId="7AEEE83A" w14:textId="77777777" w:rsidR="0065473F" w:rsidRPr="001533EE" w:rsidRDefault="0065473F" w:rsidP="0065473F">
      <w:pPr>
        <w:ind w:left="567" w:hanging="567"/>
        <w:rPr>
          <w:rFonts w:cs="Arial"/>
          <w:sz w:val="24"/>
          <w:szCs w:val="24"/>
        </w:rPr>
      </w:pPr>
    </w:p>
    <w:p w14:paraId="3A4FE99D" w14:textId="77777777" w:rsidR="0065473F" w:rsidRPr="001533EE" w:rsidRDefault="0065473F" w:rsidP="0065473F">
      <w:pPr>
        <w:pStyle w:val="ListParagraph"/>
        <w:ind w:left="709"/>
        <w:jc w:val="both"/>
        <w:rPr>
          <w:rFonts w:cs="Arial"/>
          <w:sz w:val="24"/>
          <w:szCs w:val="24"/>
        </w:rPr>
      </w:pPr>
      <w:r w:rsidRPr="001533EE">
        <w:rPr>
          <w:rFonts w:cs="Arial"/>
          <w:sz w:val="24"/>
          <w:szCs w:val="24"/>
        </w:rPr>
        <w:t>These elements cover the requirements of the Local Government Act 2003, Department for Levelling Up, Housing and Communities (DLUHC) Investment Guidance, DLUHC MRP Guidance, the CIPFA Prudential Code and the CIPFA Treasury Management Code.</w:t>
      </w:r>
    </w:p>
    <w:p w14:paraId="3043FE3D" w14:textId="3B7D3CCF" w:rsidR="00C92E93" w:rsidRPr="001533EE" w:rsidRDefault="00C92E93" w:rsidP="00B65A83">
      <w:pPr>
        <w:pStyle w:val="BodyText"/>
        <w:rPr>
          <w:rFonts w:cs="Arial"/>
          <w:szCs w:val="24"/>
        </w:rPr>
      </w:pPr>
    </w:p>
    <w:p w14:paraId="274D9B85" w14:textId="3690F68C" w:rsidR="00653657" w:rsidRPr="001533EE" w:rsidRDefault="00C323E1" w:rsidP="00C92E93">
      <w:pPr>
        <w:pStyle w:val="BodyText"/>
        <w:ind w:left="709" w:hanging="709"/>
        <w:rPr>
          <w:rFonts w:cs="Arial"/>
          <w:szCs w:val="24"/>
        </w:rPr>
      </w:pPr>
      <w:r w:rsidRPr="001533EE">
        <w:rPr>
          <w:rFonts w:cs="Arial"/>
          <w:szCs w:val="24"/>
        </w:rPr>
        <w:t>1.</w:t>
      </w:r>
      <w:r w:rsidR="00672E77" w:rsidRPr="001533EE">
        <w:rPr>
          <w:rFonts w:cs="Arial"/>
          <w:szCs w:val="24"/>
        </w:rPr>
        <w:t>2</w:t>
      </w:r>
      <w:r w:rsidR="00C92E93" w:rsidRPr="001533EE">
        <w:rPr>
          <w:rFonts w:cs="Arial"/>
          <w:szCs w:val="24"/>
        </w:rPr>
        <w:tab/>
      </w:r>
      <w:r w:rsidR="00653657" w:rsidRPr="001533EE">
        <w:rPr>
          <w:rFonts w:cs="Arial"/>
          <w:b/>
          <w:szCs w:val="24"/>
        </w:rPr>
        <w:t xml:space="preserve">Treasury Management </w:t>
      </w:r>
      <w:r w:rsidR="002E6E5A" w:rsidRPr="001533EE">
        <w:rPr>
          <w:rFonts w:cs="Arial"/>
          <w:b/>
          <w:szCs w:val="24"/>
        </w:rPr>
        <w:t>R</w:t>
      </w:r>
      <w:r w:rsidR="00653657" w:rsidRPr="001533EE">
        <w:rPr>
          <w:rFonts w:cs="Arial"/>
          <w:b/>
          <w:szCs w:val="24"/>
        </w:rPr>
        <w:t>eporting</w:t>
      </w:r>
    </w:p>
    <w:p w14:paraId="675407F1" w14:textId="77777777" w:rsidR="00653657" w:rsidRPr="001533EE" w:rsidRDefault="00653657" w:rsidP="00653657">
      <w:pPr>
        <w:pStyle w:val="BodyText"/>
        <w:ind w:left="567" w:hanging="567"/>
        <w:rPr>
          <w:rFonts w:cs="Arial"/>
          <w:szCs w:val="24"/>
        </w:rPr>
      </w:pPr>
    </w:p>
    <w:p w14:paraId="7D084B37" w14:textId="2C0ABEF3" w:rsidR="00537589" w:rsidRPr="001533EE" w:rsidRDefault="00537589" w:rsidP="00C92E93">
      <w:pPr>
        <w:ind w:left="709"/>
        <w:jc w:val="both"/>
        <w:rPr>
          <w:rFonts w:cs="Arial"/>
          <w:sz w:val="24"/>
          <w:szCs w:val="24"/>
        </w:rPr>
      </w:pPr>
      <w:r w:rsidRPr="001533EE">
        <w:rPr>
          <w:rFonts w:cs="Arial"/>
          <w:sz w:val="24"/>
          <w:szCs w:val="24"/>
        </w:rPr>
        <w:t>The Authority adopts the latest CIPFA Code of Practice on Treasury Management (the Code)</w:t>
      </w:r>
      <w:r w:rsidR="00282567" w:rsidRPr="001533EE">
        <w:rPr>
          <w:rFonts w:cs="Arial"/>
          <w:sz w:val="24"/>
          <w:szCs w:val="24"/>
        </w:rPr>
        <w:t xml:space="preserve"> </w:t>
      </w:r>
      <w:r w:rsidRPr="001533EE">
        <w:rPr>
          <w:rFonts w:cs="Arial"/>
          <w:sz w:val="24"/>
          <w:szCs w:val="24"/>
        </w:rPr>
        <w:t>which is regarded as best practice in ensuring adequate monitoring of the</w:t>
      </w:r>
      <w:r w:rsidR="002171D5" w:rsidRPr="001533EE">
        <w:rPr>
          <w:rFonts w:cs="Arial"/>
          <w:sz w:val="24"/>
          <w:szCs w:val="24"/>
        </w:rPr>
        <w:t xml:space="preserve"> Authority</w:t>
      </w:r>
      <w:r w:rsidRPr="001533EE">
        <w:rPr>
          <w:rFonts w:cs="Arial"/>
          <w:sz w:val="24"/>
          <w:szCs w:val="24"/>
        </w:rPr>
        <w:t>’s capital</w:t>
      </w:r>
      <w:r w:rsidR="00C92E93" w:rsidRPr="001533EE">
        <w:rPr>
          <w:rFonts w:cs="Arial"/>
          <w:sz w:val="24"/>
          <w:szCs w:val="24"/>
        </w:rPr>
        <w:t xml:space="preserve"> </w:t>
      </w:r>
      <w:r w:rsidRPr="001533EE">
        <w:rPr>
          <w:rFonts w:cs="Arial"/>
          <w:sz w:val="24"/>
          <w:szCs w:val="24"/>
        </w:rPr>
        <w:t xml:space="preserve">expenditure plans and its Prudential Indicators. </w:t>
      </w:r>
    </w:p>
    <w:p w14:paraId="10C07133" w14:textId="41C36A8C" w:rsidR="0014537E" w:rsidRPr="001533EE" w:rsidRDefault="0014537E" w:rsidP="00537589">
      <w:pPr>
        <w:ind w:firstLine="567"/>
        <w:jc w:val="both"/>
        <w:rPr>
          <w:rFonts w:cs="Arial"/>
          <w:sz w:val="24"/>
          <w:szCs w:val="24"/>
        </w:rPr>
      </w:pPr>
    </w:p>
    <w:p w14:paraId="633BE288" w14:textId="616EE353" w:rsidR="0014537E" w:rsidRPr="001533EE" w:rsidRDefault="0014537E" w:rsidP="00C92E93">
      <w:pPr>
        <w:ind w:left="709"/>
        <w:jc w:val="both"/>
        <w:rPr>
          <w:rFonts w:cs="Arial"/>
          <w:sz w:val="24"/>
          <w:szCs w:val="24"/>
        </w:rPr>
      </w:pPr>
      <w:r w:rsidRPr="001533EE">
        <w:rPr>
          <w:rFonts w:cs="Arial"/>
          <w:sz w:val="24"/>
          <w:szCs w:val="24"/>
        </w:rPr>
        <w:t xml:space="preserve">Quarterly reporting </w:t>
      </w:r>
      <w:r w:rsidRPr="0054171B">
        <w:rPr>
          <w:rFonts w:cs="Arial"/>
          <w:sz w:val="24"/>
          <w:szCs w:val="24"/>
        </w:rPr>
        <w:t xml:space="preserve">to the </w:t>
      </w:r>
      <w:r w:rsidR="0054171B" w:rsidRPr="0054171B">
        <w:rPr>
          <w:rFonts w:cs="Arial"/>
          <w:sz w:val="24"/>
          <w:szCs w:val="24"/>
        </w:rPr>
        <w:t>Mayor</w:t>
      </w:r>
      <w:r w:rsidR="00A72E1D">
        <w:rPr>
          <w:rFonts w:cs="Arial"/>
          <w:sz w:val="24"/>
          <w:szCs w:val="24"/>
        </w:rPr>
        <w:t>/Deputy</w:t>
      </w:r>
      <w:r w:rsidR="0054171B" w:rsidRPr="0054171B">
        <w:rPr>
          <w:rFonts w:cs="Arial"/>
          <w:sz w:val="24"/>
          <w:szCs w:val="24"/>
        </w:rPr>
        <w:t xml:space="preserve"> </w:t>
      </w:r>
      <w:r w:rsidRPr="0054171B">
        <w:rPr>
          <w:rFonts w:cs="Arial"/>
          <w:sz w:val="24"/>
          <w:szCs w:val="24"/>
        </w:rPr>
        <w:t>is</w:t>
      </w:r>
      <w:r w:rsidRPr="001533EE">
        <w:rPr>
          <w:rFonts w:cs="Arial"/>
          <w:sz w:val="24"/>
          <w:szCs w:val="24"/>
        </w:rPr>
        <w:t xml:space="preserve"> now required under the 2021 Treasury Management Code, however it is not necessary to take these reports via Executive Board. Executive Board is required to receive and approve, as a minimum, three main treasury reports each year, which incorporate a variety of policies, estimates and actuals:</w:t>
      </w:r>
    </w:p>
    <w:p w14:paraId="28F54B7A" w14:textId="77777777" w:rsidR="00653657" w:rsidRPr="001533EE" w:rsidRDefault="00653657" w:rsidP="00653657">
      <w:pPr>
        <w:pStyle w:val="BodyText"/>
        <w:rPr>
          <w:rFonts w:cs="Arial"/>
          <w:b/>
          <w:szCs w:val="24"/>
        </w:rPr>
      </w:pPr>
    </w:p>
    <w:p w14:paraId="655D5638" w14:textId="77777777" w:rsidR="00653657" w:rsidRPr="001533EE" w:rsidRDefault="00653657" w:rsidP="006A2F03">
      <w:pPr>
        <w:pStyle w:val="BodyText"/>
        <w:numPr>
          <w:ilvl w:val="1"/>
          <w:numId w:val="10"/>
        </w:numPr>
        <w:ind w:hanging="425"/>
        <w:rPr>
          <w:rFonts w:cs="Arial"/>
          <w:szCs w:val="24"/>
        </w:rPr>
      </w:pPr>
      <w:r w:rsidRPr="001533EE">
        <w:rPr>
          <w:rFonts w:cs="Arial"/>
          <w:b/>
          <w:szCs w:val="24"/>
        </w:rPr>
        <w:t>Treasury Management Strategy</w:t>
      </w:r>
      <w:r w:rsidRPr="001533EE">
        <w:rPr>
          <w:rFonts w:cs="Arial"/>
          <w:szCs w:val="24"/>
        </w:rPr>
        <w:t xml:space="preserve"> (this report) - is forward looking and covers:</w:t>
      </w:r>
    </w:p>
    <w:p w14:paraId="48C18673" w14:textId="77777777" w:rsidR="00653657" w:rsidRPr="001533EE" w:rsidRDefault="00653657" w:rsidP="00653657">
      <w:pPr>
        <w:pStyle w:val="BodyText"/>
        <w:ind w:left="786"/>
        <w:rPr>
          <w:rFonts w:cs="Arial"/>
          <w:szCs w:val="24"/>
        </w:rPr>
      </w:pPr>
    </w:p>
    <w:p w14:paraId="434FB707" w14:textId="77777777" w:rsidR="00653657" w:rsidRPr="001533EE" w:rsidRDefault="00653657" w:rsidP="006A2F03">
      <w:pPr>
        <w:pStyle w:val="ListParagraph"/>
        <w:numPr>
          <w:ilvl w:val="0"/>
          <w:numId w:val="11"/>
        </w:numPr>
        <w:ind w:hanging="306"/>
        <w:contextualSpacing w:val="0"/>
        <w:jc w:val="both"/>
        <w:rPr>
          <w:rFonts w:cs="Arial"/>
          <w:sz w:val="24"/>
          <w:szCs w:val="24"/>
        </w:rPr>
      </w:pPr>
      <w:r w:rsidRPr="001533EE">
        <w:rPr>
          <w:rFonts w:cs="Arial"/>
          <w:sz w:val="24"/>
          <w:szCs w:val="24"/>
        </w:rPr>
        <w:t>the capital plans, (including prudential indicators)</w:t>
      </w:r>
    </w:p>
    <w:p w14:paraId="642D6BCC" w14:textId="77777777" w:rsidR="00653657" w:rsidRPr="001533EE" w:rsidRDefault="00653657" w:rsidP="006A2F03">
      <w:pPr>
        <w:pStyle w:val="ListParagraph"/>
        <w:numPr>
          <w:ilvl w:val="2"/>
          <w:numId w:val="9"/>
        </w:numPr>
        <w:ind w:left="1418" w:hanging="284"/>
        <w:contextualSpacing w:val="0"/>
        <w:jc w:val="both"/>
        <w:rPr>
          <w:rFonts w:cs="Arial"/>
          <w:sz w:val="24"/>
          <w:szCs w:val="24"/>
        </w:rPr>
      </w:pPr>
      <w:r w:rsidRPr="001533EE">
        <w:rPr>
          <w:rFonts w:cs="Arial"/>
          <w:sz w:val="24"/>
          <w:szCs w:val="24"/>
        </w:rPr>
        <w:t>a minimum revenue provision (MRP) policy, (how residual capital expenditure is charged to revenue over time)</w:t>
      </w:r>
    </w:p>
    <w:p w14:paraId="3D8D4C4C" w14:textId="75254818" w:rsidR="00653657" w:rsidRPr="001533EE" w:rsidRDefault="00653657" w:rsidP="006A2F03">
      <w:pPr>
        <w:pStyle w:val="ListParagraph"/>
        <w:numPr>
          <w:ilvl w:val="2"/>
          <w:numId w:val="9"/>
        </w:numPr>
        <w:ind w:left="1418" w:hanging="284"/>
        <w:contextualSpacing w:val="0"/>
        <w:jc w:val="both"/>
        <w:rPr>
          <w:rFonts w:cs="Arial"/>
          <w:sz w:val="24"/>
          <w:szCs w:val="24"/>
        </w:rPr>
      </w:pPr>
      <w:r w:rsidRPr="001533EE">
        <w:rPr>
          <w:rFonts w:cs="Arial"/>
          <w:sz w:val="24"/>
          <w:szCs w:val="24"/>
        </w:rPr>
        <w:t xml:space="preserve">the </w:t>
      </w:r>
      <w:r w:rsidR="00672E77" w:rsidRPr="001533EE">
        <w:rPr>
          <w:rFonts w:cs="Arial"/>
          <w:sz w:val="24"/>
          <w:szCs w:val="24"/>
        </w:rPr>
        <w:t>T</w:t>
      </w:r>
      <w:r w:rsidRPr="001533EE">
        <w:rPr>
          <w:rFonts w:cs="Arial"/>
          <w:sz w:val="24"/>
          <w:szCs w:val="24"/>
        </w:rPr>
        <w:t xml:space="preserve">reasury </w:t>
      </w:r>
      <w:r w:rsidR="00672E77" w:rsidRPr="001533EE">
        <w:rPr>
          <w:rFonts w:cs="Arial"/>
          <w:sz w:val="24"/>
          <w:szCs w:val="24"/>
        </w:rPr>
        <w:t>M</w:t>
      </w:r>
      <w:r w:rsidRPr="001533EE">
        <w:rPr>
          <w:rFonts w:cs="Arial"/>
          <w:sz w:val="24"/>
          <w:szCs w:val="24"/>
        </w:rPr>
        <w:t>anagement strategy, (how the investments</w:t>
      </w:r>
      <w:r w:rsidR="005C73D3" w:rsidRPr="001533EE">
        <w:rPr>
          <w:rFonts w:cs="Arial"/>
          <w:sz w:val="24"/>
          <w:szCs w:val="24"/>
        </w:rPr>
        <w:t>/</w:t>
      </w:r>
      <w:r w:rsidRPr="001533EE">
        <w:rPr>
          <w:rFonts w:cs="Arial"/>
          <w:sz w:val="24"/>
          <w:szCs w:val="24"/>
        </w:rPr>
        <w:t>borrowings are to be organised), including treasury indicators; and</w:t>
      </w:r>
    </w:p>
    <w:p w14:paraId="70B4DB9E" w14:textId="77777777" w:rsidR="00653657" w:rsidRPr="001533EE" w:rsidRDefault="00653657" w:rsidP="006A2F03">
      <w:pPr>
        <w:pStyle w:val="ListParagraph"/>
        <w:numPr>
          <w:ilvl w:val="2"/>
          <w:numId w:val="9"/>
        </w:numPr>
        <w:ind w:left="1418" w:hanging="284"/>
        <w:contextualSpacing w:val="0"/>
        <w:jc w:val="both"/>
        <w:rPr>
          <w:rFonts w:cs="Arial"/>
          <w:sz w:val="24"/>
          <w:szCs w:val="24"/>
        </w:rPr>
      </w:pPr>
      <w:r w:rsidRPr="001533EE">
        <w:rPr>
          <w:rFonts w:cs="Arial"/>
          <w:sz w:val="24"/>
          <w:szCs w:val="24"/>
        </w:rPr>
        <w:t>an investment strategy, (the parameters on how investments are to be managed).</w:t>
      </w:r>
    </w:p>
    <w:p w14:paraId="655A3EB2" w14:textId="77777777" w:rsidR="00653657" w:rsidRPr="001533EE" w:rsidRDefault="00653657" w:rsidP="00653657">
      <w:pPr>
        <w:pStyle w:val="BodyText"/>
        <w:ind w:left="567" w:hanging="567"/>
        <w:rPr>
          <w:rFonts w:cs="Arial"/>
          <w:szCs w:val="24"/>
        </w:rPr>
      </w:pPr>
    </w:p>
    <w:p w14:paraId="7467F29D" w14:textId="089389E8" w:rsidR="0014537E" w:rsidRPr="001533EE" w:rsidRDefault="00653657" w:rsidP="006A2F03">
      <w:pPr>
        <w:pStyle w:val="BodyText"/>
        <w:numPr>
          <w:ilvl w:val="0"/>
          <w:numId w:val="16"/>
        </w:numPr>
        <w:ind w:left="1134" w:hanging="425"/>
        <w:rPr>
          <w:rFonts w:cs="Arial"/>
          <w:szCs w:val="24"/>
        </w:rPr>
      </w:pPr>
      <w:r w:rsidRPr="001533EE">
        <w:rPr>
          <w:rFonts w:cs="Arial"/>
          <w:b/>
          <w:szCs w:val="24"/>
        </w:rPr>
        <w:lastRenderedPageBreak/>
        <w:t xml:space="preserve">A </w:t>
      </w:r>
      <w:r w:rsidR="00944B99" w:rsidRPr="001533EE">
        <w:rPr>
          <w:rFonts w:cs="Arial"/>
          <w:b/>
          <w:szCs w:val="24"/>
        </w:rPr>
        <w:t>mid-year</w:t>
      </w:r>
      <w:r w:rsidRPr="001533EE">
        <w:rPr>
          <w:rFonts w:cs="Arial"/>
          <w:b/>
          <w:szCs w:val="24"/>
        </w:rPr>
        <w:t xml:space="preserve"> treasury management report</w:t>
      </w:r>
      <w:r w:rsidRPr="001533EE">
        <w:rPr>
          <w:rFonts w:cs="Arial"/>
          <w:szCs w:val="24"/>
        </w:rPr>
        <w:t xml:space="preserve"> - </w:t>
      </w:r>
      <w:r w:rsidR="0014537E" w:rsidRPr="001533EE">
        <w:rPr>
          <w:rFonts w:cs="Arial"/>
          <w:szCs w:val="24"/>
        </w:rPr>
        <w:t xml:space="preserve">primarily a progress report and will update the </w:t>
      </w:r>
      <w:proofErr w:type="gramStart"/>
      <w:r w:rsidR="00A72E1D">
        <w:rPr>
          <w:rFonts w:cs="Arial"/>
          <w:szCs w:val="24"/>
        </w:rPr>
        <w:t>Mayor</w:t>
      </w:r>
      <w:proofErr w:type="gramEnd"/>
      <w:r w:rsidR="0054171B">
        <w:rPr>
          <w:rFonts w:cs="Arial"/>
          <w:szCs w:val="24"/>
        </w:rPr>
        <w:t xml:space="preserve"> </w:t>
      </w:r>
      <w:r w:rsidR="0014537E" w:rsidRPr="001533EE">
        <w:rPr>
          <w:rFonts w:cs="Arial"/>
          <w:szCs w:val="24"/>
        </w:rPr>
        <w:t>on the capital position, amending prudential indicators as necessary, and whether any policies require revision</w:t>
      </w:r>
      <w:r w:rsidR="0014537E" w:rsidRPr="001533EE">
        <w:rPr>
          <w:rFonts w:cs="Arial"/>
          <w:i/>
          <w:szCs w:val="24"/>
        </w:rPr>
        <w:t>.</w:t>
      </w:r>
      <w:r w:rsidR="0014537E" w:rsidRPr="001533EE">
        <w:rPr>
          <w:rFonts w:cs="Arial"/>
          <w:szCs w:val="24"/>
        </w:rPr>
        <w:t xml:space="preserve">  </w:t>
      </w:r>
    </w:p>
    <w:p w14:paraId="048E93C8" w14:textId="77777777" w:rsidR="0014537E" w:rsidRPr="001533EE" w:rsidRDefault="0014537E" w:rsidP="0014537E">
      <w:pPr>
        <w:pStyle w:val="BodyText"/>
        <w:ind w:left="1134"/>
        <w:rPr>
          <w:rFonts w:cs="Arial"/>
          <w:szCs w:val="24"/>
        </w:rPr>
      </w:pPr>
    </w:p>
    <w:p w14:paraId="32E35053" w14:textId="59C44D25" w:rsidR="00572C71" w:rsidRPr="001533EE" w:rsidRDefault="00653657" w:rsidP="006A2F03">
      <w:pPr>
        <w:pStyle w:val="BodyText"/>
        <w:numPr>
          <w:ilvl w:val="0"/>
          <w:numId w:val="16"/>
        </w:numPr>
        <w:ind w:left="1134" w:hanging="425"/>
        <w:rPr>
          <w:rFonts w:cs="Arial"/>
          <w:szCs w:val="24"/>
        </w:rPr>
      </w:pPr>
      <w:r w:rsidRPr="001533EE">
        <w:rPr>
          <w:rFonts w:cs="Arial"/>
          <w:b/>
          <w:szCs w:val="24"/>
        </w:rPr>
        <w:t>An annual treasury outturn report</w:t>
      </w:r>
      <w:r w:rsidRPr="001533EE">
        <w:rPr>
          <w:rFonts w:cs="Arial"/>
          <w:szCs w:val="24"/>
        </w:rPr>
        <w:t xml:space="preserve"> - a </w:t>
      </w:r>
      <w:r w:rsidR="001832E7" w:rsidRPr="001533EE">
        <w:rPr>
          <w:rFonts w:cs="Arial"/>
          <w:szCs w:val="24"/>
        </w:rPr>
        <w:t>backward-looking</w:t>
      </w:r>
      <w:r w:rsidRPr="001533EE">
        <w:rPr>
          <w:rFonts w:cs="Arial"/>
          <w:szCs w:val="24"/>
        </w:rPr>
        <w:t xml:space="preserve"> review document </w:t>
      </w:r>
      <w:r w:rsidR="005C73D3" w:rsidRPr="001533EE">
        <w:rPr>
          <w:rFonts w:cs="Arial"/>
          <w:szCs w:val="24"/>
        </w:rPr>
        <w:t>which</w:t>
      </w:r>
      <w:r w:rsidRPr="001533EE">
        <w:rPr>
          <w:rFonts w:cs="Arial"/>
          <w:szCs w:val="24"/>
        </w:rPr>
        <w:t xml:space="preserve"> provides details of a selection of actual prudential and treasury indicators and actual treasury operations compared to the estimates within the strategy</w:t>
      </w:r>
      <w:r w:rsidR="0065473F" w:rsidRPr="001533EE">
        <w:rPr>
          <w:rFonts w:cs="Arial"/>
          <w:szCs w:val="24"/>
        </w:rPr>
        <w:t>.</w:t>
      </w:r>
    </w:p>
    <w:p w14:paraId="0E406F8B" w14:textId="04A51FFE" w:rsidR="00890919" w:rsidRPr="001533EE" w:rsidRDefault="00890919" w:rsidP="0014537E">
      <w:pPr>
        <w:pStyle w:val="ListParagraph"/>
        <w:ind w:left="709"/>
        <w:jc w:val="both"/>
        <w:rPr>
          <w:rFonts w:cs="Arial"/>
          <w:sz w:val="24"/>
          <w:szCs w:val="24"/>
        </w:rPr>
      </w:pPr>
      <w:bookmarkStart w:id="5" w:name="_Toc22031513"/>
    </w:p>
    <w:p w14:paraId="33882C63" w14:textId="1F1E4B98" w:rsidR="007B7E32" w:rsidRPr="001533EE" w:rsidRDefault="007B7E32" w:rsidP="007B7E32">
      <w:pPr>
        <w:pStyle w:val="BodyText"/>
        <w:ind w:left="1134" w:firstLine="6"/>
        <w:rPr>
          <w:rFonts w:cs="Arial"/>
          <w:szCs w:val="24"/>
        </w:rPr>
      </w:pPr>
      <w:r w:rsidRPr="001533EE">
        <w:rPr>
          <w:rFonts w:cs="Arial"/>
          <w:szCs w:val="24"/>
        </w:rPr>
        <w:t xml:space="preserve">Treasury Management </w:t>
      </w:r>
      <w:r w:rsidR="0054171B">
        <w:rPr>
          <w:rFonts w:cs="Arial"/>
          <w:szCs w:val="24"/>
        </w:rPr>
        <w:t xml:space="preserve">policies and procedures </w:t>
      </w:r>
      <w:r w:rsidRPr="001533EE">
        <w:rPr>
          <w:rFonts w:cs="Arial"/>
          <w:szCs w:val="24"/>
        </w:rPr>
        <w:t>are required to be adequately scrutinised before being recommended to the</w:t>
      </w:r>
      <w:r w:rsidR="0054171B">
        <w:rPr>
          <w:rFonts w:cs="Arial"/>
          <w:szCs w:val="24"/>
        </w:rPr>
        <w:t xml:space="preserve"> </w:t>
      </w:r>
      <w:proofErr w:type="gramStart"/>
      <w:r w:rsidR="00A72E1D">
        <w:rPr>
          <w:rFonts w:cs="Arial"/>
          <w:szCs w:val="24"/>
        </w:rPr>
        <w:t>Mayor</w:t>
      </w:r>
      <w:proofErr w:type="gramEnd"/>
      <w:r w:rsidRPr="001533EE">
        <w:rPr>
          <w:rFonts w:cs="Arial"/>
          <w:szCs w:val="24"/>
        </w:rPr>
        <w:t xml:space="preserve">. </w:t>
      </w:r>
      <w:r w:rsidR="0054171B">
        <w:rPr>
          <w:rFonts w:cs="Arial"/>
          <w:szCs w:val="24"/>
        </w:rPr>
        <w:t>When necessary, this</w:t>
      </w:r>
      <w:r w:rsidRPr="0054171B">
        <w:rPr>
          <w:rFonts w:cs="Arial"/>
          <w:szCs w:val="24"/>
        </w:rPr>
        <w:t xml:space="preserve"> scrutiny role is undertaken by </w:t>
      </w:r>
      <w:r w:rsidR="00C877F2" w:rsidRPr="0054171B">
        <w:rPr>
          <w:rFonts w:cs="Arial"/>
          <w:szCs w:val="24"/>
        </w:rPr>
        <w:t>Audit Committee</w:t>
      </w:r>
      <w:r w:rsidR="001C4555" w:rsidRPr="0054171B">
        <w:rPr>
          <w:rFonts w:cs="Arial"/>
          <w:szCs w:val="24"/>
        </w:rPr>
        <w:t>.</w:t>
      </w:r>
      <w:r w:rsidR="0054171B">
        <w:rPr>
          <w:rFonts w:cs="Arial"/>
          <w:szCs w:val="24"/>
        </w:rPr>
        <w:t xml:space="preserve"> </w:t>
      </w:r>
    </w:p>
    <w:p w14:paraId="08E89456" w14:textId="77777777" w:rsidR="001832E7" w:rsidRPr="00B65A83" w:rsidRDefault="001832E7" w:rsidP="00B65A83">
      <w:pPr>
        <w:jc w:val="both"/>
        <w:rPr>
          <w:rFonts w:cs="Arial"/>
          <w:sz w:val="24"/>
          <w:szCs w:val="24"/>
        </w:rPr>
      </w:pPr>
    </w:p>
    <w:p w14:paraId="0CBA6845" w14:textId="111F67F6" w:rsidR="00890919" w:rsidRPr="001533EE" w:rsidRDefault="00C323E1" w:rsidP="0031047C">
      <w:pPr>
        <w:pStyle w:val="subhead"/>
        <w:spacing w:before="0" w:after="0"/>
        <w:ind w:left="709" w:hanging="709"/>
        <w:rPr>
          <w:b w:val="0"/>
          <w:bCs/>
          <w:noProof w:val="0"/>
          <w:sz w:val="24"/>
          <w:szCs w:val="24"/>
        </w:rPr>
      </w:pPr>
      <w:bookmarkStart w:id="6" w:name="_Toc22031515"/>
      <w:r w:rsidRPr="001533EE">
        <w:rPr>
          <w:b w:val="0"/>
          <w:bCs/>
          <w:noProof w:val="0"/>
          <w:sz w:val="24"/>
          <w:szCs w:val="24"/>
        </w:rPr>
        <w:t>1.</w:t>
      </w:r>
      <w:r w:rsidR="001F1C71">
        <w:rPr>
          <w:b w:val="0"/>
          <w:bCs/>
          <w:noProof w:val="0"/>
          <w:sz w:val="24"/>
          <w:szCs w:val="24"/>
        </w:rPr>
        <w:t>3</w:t>
      </w:r>
      <w:r w:rsidR="00890919" w:rsidRPr="001533EE">
        <w:rPr>
          <w:b w:val="0"/>
          <w:bCs/>
          <w:noProof w:val="0"/>
          <w:sz w:val="24"/>
          <w:szCs w:val="24"/>
        </w:rPr>
        <w:tab/>
      </w:r>
      <w:r w:rsidR="00890919" w:rsidRPr="001533EE">
        <w:rPr>
          <w:noProof w:val="0"/>
          <w:sz w:val="24"/>
          <w:szCs w:val="24"/>
        </w:rPr>
        <w:t>Training</w:t>
      </w:r>
      <w:bookmarkEnd w:id="6"/>
    </w:p>
    <w:p w14:paraId="663ED1DE" w14:textId="77777777" w:rsidR="00890919" w:rsidRPr="001533EE" w:rsidRDefault="00890919" w:rsidP="00890919">
      <w:pPr>
        <w:pStyle w:val="subhead"/>
        <w:spacing w:before="0" w:after="0"/>
        <w:ind w:left="567" w:hanging="567"/>
        <w:rPr>
          <w:b w:val="0"/>
          <w:bCs/>
          <w:noProof w:val="0"/>
          <w:sz w:val="24"/>
          <w:szCs w:val="24"/>
        </w:rPr>
      </w:pPr>
    </w:p>
    <w:p w14:paraId="13061156" w14:textId="1F6B9FCF" w:rsidR="00890919" w:rsidRPr="001533EE" w:rsidRDefault="00890919" w:rsidP="0031047C">
      <w:pPr>
        <w:pStyle w:val="ListParagraph"/>
        <w:ind w:left="709"/>
        <w:jc w:val="both"/>
        <w:rPr>
          <w:rFonts w:cs="Arial"/>
          <w:bCs/>
          <w:sz w:val="24"/>
          <w:szCs w:val="24"/>
        </w:rPr>
      </w:pPr>
      <w:r w:rsidRPr="001533EE">
        <w:rPr>
          <w:rFonts w:cs="Arial"/>
          <w:bCs/>
          <w:sz w:val="24"/>
          <w:szCs w:val="24"/>
        </w:rPr>
        <w:t>The revised CIPFA Treasury Management Code strengthens the require</w:t>
      </w:r>
      <w:r w:rsidRPr="0054171B">
        <w:rPr>
          <w:rFonts w:cs="Arial"/>
          <w:bCs/>
          <w:sz w:val="24"/>
          <w:szCs w:val="24"/>
        </w:rPr>
        <w:t xml:space="preserve">ment for </w:t>
      </w:r>
      <w:bookmarkStart w:id="7" w:name="_Hlk125448505"/>
      <w:r w:rsidR="0054171B" w:rsidRPr="0054171B">
        <w:rPr>
          <w:rFonts w:cs="Arial"/>
          <w:bCs/>
          <w:sz w:val="24"/>
          <w:szCs w:val="24"/>
        </w:rPr>
        <w:t>the</w:t>
      </w:r>
      <w:r w:rsidR="0054171B">
        <w:rPr>
          <w:rFonts w:cs="Arial"/>
          <w:bCs/>
          <w:sz w:val="24"/>
          <w:szCs w:val="24"/>
        </w:rPr>
        <w:t xml:space="preserve"> Deputy S73 Officer </w:t>
      </w:r>
      <w:bookmarkEnd w:id="7"/>
      <w:r w:rsidRPr="001533EE">
        <w:rPr>
          <w:rFonts w:cs="Arial"/>
          <w:bCs/>
          <w:sz w:val="24"/>
          <w:szCs w:val="24"/>
        </w:rPr>
        <w:t xml:space="preserve">to ensure that Officers with responsibility for treasury management receive adequate training in treasury management.  This especially applies to Officers responsible for scrutiny. </w:t>
      </w:r>
    </w:p>
    <w:p w14:paraId="438C8CEF" w14:textId="77777777" w:rsidR="00890919" w:rsidRPr="001533EE" w:rsidRDefault="00890919" w:rsidP="00890919">
      <w:pPr>
        <w:jc w:val="both"/>
        <w:rPr>
          <w:rFonts w:cs="Arial"/>
          <w:bCs/>
          <w:sz w:val="24"/>
          <w:szCs w:val="24"/>
        </w:rPr>
      </w:pPr>
    </w:p>
    <w:p w14:paraId="02077968" w14:textId="231E75B7" w:rsidR="00890919" w:rsidRPr="001533EE" w:rsidRDefault="00890919" w:rsidP="0031047C">
      <w:pPr>
        <w:ind w:left="709"/>
        <w:jc w:val="both"/>
        <w:rPr>
          <w:rFonts w:cs="Arial"/>
          <w:bCs/>
          <w:sz w:val="24"/>
          <w:szCs w:val="24"/>
        </w:rPr>
      </w:pPr>
      <w:r w:rsidRPr="001533EE">
        <w:rPr>
          <w:rFonts w:cs="Arial"/>
          <w:bCs/>
          <w:sz w:val="24"/>
          <w:szCs w:val="24"/>
        </w:rPr>
        <w:t xml:space="preserve">The scale and nature of training requirements will depend on the size and complexity of the </w:t>
      </w:r>
      <w:r w:rsidR="002171D5" w:rsidRPr="001533EE">
        <w:rPr>
          <w:rFonts w:cs="Arial"/>
          <w:bCs/>
          <w:sz w:val="24"/>
          <w:szCs w:val="24"/>
        </w:rPr>
        <w:t>Authority</w:t>
      </w:r>
      <w:r w:rsidRPr="001533EE">
        <w:rPr>
          <w:rFonts w:cs="Arial"/>
          <w:bCs/>
          <w:sz w:val="24"/>
          <w:szCs w:val="24"/>
        </w:rPr>
        <w:t xml:space="preserve">’s treasury management needs.  The </w:t>
      </w:r>
      <w:r w:rsidR="00A72E1D" w:rsidRPr="00A72E1D">
        <w:rPr>
          <w:rFonts w:cs="Arial"/>
          <w:bCs/>
          <w:sz w:val="24"/>
          <w:szCs w:val="24"/>
        </w:rPr>
        <w:t xml:space="preserve">Deputy S73 Officer </w:t>
      </w:r>
      <w:r w:rsidRPr="001533EE">
        <w:rPr>
          <w:rFonts w:cs="Arial"/>
          <w:bCs/>
          <w:sz w:val="24"/>
          <w:szCs w:val="24"/>
        </w:rPr>
        <w:t>will assess whether treasury management staff and members have the required knowledge and skills to undertake the roles and if those skills have been maintained and are up to date.</w:t>
      </w:r>
    </w:p>
    <w:bookmarkEnd w:id="5"/>
    <w:p w14:paraId="2C9EE3B7" w14:textId="5FD23D8E" w:rsidR="004D7AC9" w:rsidRDefault="004D7AC9" w:rsidP="004D7AC9">
      <w:pPr>
        <w:pStyle w:val="subhead"/>
        <w:spacing w:before="0" w:after="0"/>
        <w:rPr>
          <w:rFonts w:eastAsia="Calibri"/>
          <w:b w:val="0"/>
          <w:sz w:val="24"/>
          <w:szCs w:val="24"/>
        </w:rPr>
      </w:pPr>
    </w:p>
    <w:p w14:paraId="5FDD1369" w14:textId="77777777" w:rsidR="001832E7" w:rsidRPr="001533EE" w:rsidRDefault="001832E7" w:rsidP="004D7AC9">
      <w:pPr>
        <w:pStyle w:val="subhead"/>
        <w:spacing w:before="0" w:after="0"/>
        <w:rPr>
          <w:rFonts w:eastAsia="Calibri"/>
          <w:b w:val="0"/>
          <w:sz w:val="24"/>
          <w:szCs w:val="24"/>
        </w:rPr>
      </w:pPr>
    </w:p>
    <w:p w14:paraId="0A615D85" w14:textId="5F839F2F" w:rsidR="00712B3F" w:rsidRPr="001533EE" w:rsidRDefault="003B529F" w:rsidP="003B529F">
      <w:pPr>
        <w:ind w:left="709" w:hanging="709"/>
        <w:jc w:val="both"/>
        <w:rPr>
          <w:rFonts w:cs="Arial"/>
          <w:b/>
          <w:bCs/>
          <w:sz w:val="24"/>
          <w:szCs w:val="24"/>
        </w:rPr>
      </w:pPr>
      <w:bookmarkStart w:id="8" w:name="_Hlk125456847"/>
      <w:r w:rsidRPr="001533EE">
        <w:rPr>
          <w:rFonts w:cs="Arial"/>
          <w:b/>
          <w:bCs/>
          <w:sz w:val="24"/>
          <w:szCs w:val="24"/>
        </w:rPr>
        <w:t>2.0</w:t>
      </w:r>
      <w:r w:rsidRPr="001533EE">
        <w:rPr>
          <w:rFonts w:cs="Arial"/>
          <w:b/>
          <w:bCs/>
          <w:sz w:val="24"/>
          <w:szCs w:val="24"/>
        </w:rPr>
        <w:tab/>
      </w:r>
      <w:r w:rsidR="00C323E1" w:rsidRPr="001533EE">
        <w:rPr>
          <w:rFonts w:cs="Arial"/>
          <w:b/>
          <w:bCs/>
          <w:sz w:val="24"/>
          <w:szCs w:val="24"/>
        </w:rPr>
        <w:t xml:space="preserve">SECTION 2 </w:t>
      </w:r>
      <w:r w:rsidRPr="001533EE">
        <w:rPr>
          <w:rFonts w:cs="Arial"/>
          <w:b/>
          <w:bCs/>
          <w:sz w:val="24"/>
          <w:szCs w:val="24"/>
        </w:rPr>
        <w:t xml:space="preserve">- </w:t>
      </w:r>
      <w:r w:rsidR="00C323E1" w:rsidRPr="001533EE">
        <w:rPr>
          <w:rFonts w:cs="Arial"/>
          <w:b/>
          <w:bCs/>
          <w:sz w:val="24"/>
          <w:szCs w:val="24"/>
        </w:rPr>
        <w:t xml:space="preserve">CAPITAL </w:t>
      </w:r>
      <w:r w:rsidR="00712B3F" w:rsidRPr="001533EE">
        <w:rPr>
          <w:rFonts w:cs="Arial"/>
          <w:b/>
          <w:bCs/>
          <w:sz w:val="24"/>
          <w:szCs w:val="24"/>
        </w:rPr>
        <w:t>PRUDENTIAL INDICATORS</w:t>
      </w:r>
      <w:r w:rsidR="00C323E1" w:rsidRPr="001533EE">
        <w:rPr>
          <w:rFonts w:cs="Arial"/>
          <w:b/>
          <w:bCs/>
          <w:sz w:val="24"/>
          <w:szCs w:val="24"/>
        </w:rPr>
        <w:t xml:space="preserve"> 202</w:t>
      </w:r>
      <w:r w:rsidR="005406BE">
        <w:rPr>
          <w:rFonts w:cs="Arial"/>
          <w:b/>
          <w:bCs/>
          <w:sz w:val="24"/>
          <w:szCs w:val="24"/>
        </w:rPr>
        <w:t>6</w:t>
      </w:r>
      <w:r w:rsidR="00C323E1" w:rsidRPr="001533EE">
        <w:rPr>
          <w:rFonts w:cs="Arial"/>
          <w:b/>
          <w:bCs/>
          <w:sz w:val="24"/>
          <w:szCs w:val="24"/>
        </w:rPr>
        <w:t>/2</w:t>
      </w:r>
      <w:r w:rsidR="005406BE">
        <w:rPr>
          <w:rFonts w:cs="Arial"/>
          <w:b/>
          <w:bCs/>
          <w:sz w:val="24"/>
          <w:szCs w:val="24"/>
        </w:rPr>
        <w:t>7</w:t>
      </w:r>
      <w:r w:rsidR="00C323E1" w:rsidRPr="001533EE">
        <w:rPr>
          <w:rFonts w:cs="Arial"/>
          <w:b/>
          <w:bCs/>
          <w:sz w:val="24"/>
          <w:szCs w:val="24"/>
        </w:rPr>
        <w:t xml:space="preserve"> - 202</w:t>
      </w:r>
      <w:r w:rsidR="005406BE">
        <w:rPr>
          <w:rFonts w:cs="Arial"/>
          <w:b/>
          <w:bCs/>
          <w:sz w:val="24"/>
          <w:szCs w:val="24"/>
        </w:rPr>
        <w:t>8</w:t>
      </w:r>
      <w:r w:rsidR="00C323E1" w:rsidRPr="001533EE">
        <w:rPr>
          <w:rFonts w:cs="Arial"/>
          <w:b/>
          <w:bCs/>
          <w:sz w:val="24"/>
          <w:szCs w:val="24"/>
        </w:rPr>
        <w:t>/2</w:t>
      </w:r>
      <w:r w:rsidR="005406BE">
        <w:rPr>
          <w:rFonts w:cs="Arial"/>
          <w:b/>
          <w:bCs/>
          <w:sz w:val="24"/>
          <w:szCs w:val="24"/>
        </w:rPr>
        <w:t>9</w:t>
      </w:r>
    </w:p>
    <w:bookmarkEnd w:id="8"/>
    <w:p w14:paraId="544D6433" w14:textId="77777777" w:rsidR="00712B3F" w:rsidRPr="001533EE" w:rsidRDefault="00712B3F" w:rsidP="00712B3F">
      <w:pPr>
        <w:jc w:val="both"/>
        <w:rPr>
          <w:rFonts w:cs="Arial"/>
          <w:b/>
          <w:sz w:val="24"/>
          <w:szCs w:val="24"/>
        </w:rPr>
      </w:pPr>
    </w:p>
    <w:p w14:paraId="435B23D4" w14:textId="2BCF5A08" w:rsidR="00712B3F" w:rsidRPr="001533EE" w:rsidRDefault="00C323E1" w:rsidP="003B529F">
      <w:pPr>
        <w:ind w:left="709" w:hanging="709"/>
        <w:jc w:val="both"/>
        <w:rPr>
          <w:rFonts w:cs="Arial"/>
          <w:sz w:val="24"/>
          <w:szCs w:val="24"/>
        </w:rPr>
      </w:pPr>
      <w:r w:rsidRPr="001533EE">
        <w:rPr>
          <w:rFonts w:cs="Arial"/>
          <w:sz w:val="24"/>
          <w:szCs w:val="24"/>
        </w:rPr>
        <w:t>2.1</w:t>
      </w:r>
      <w:r w:rsidR="00712B3F" w:rsidRPr="001533EE">
        <w:rPr>
          <w:rFonts w:cs="Arial"/>
          <w:sz w:val="24"/>
          <w:szCs w:val="24"/>
        </w:rPr>
        <w:tab/>
        <w:t>Th</w:t>
      </w:r>
      <w:r w:rsidR="00D60988" w:rsidRPr="001533EE">
        <w:rPr>
          <w:rFonts w:cs="Arial"/>
          <w:sz w:val="24"/>
          <w:szCs w:val="24"/>
        </w:rPr>
        <w:t>e</w:t>
      </w:r>
      <w:r w:rsidR="00712B3F" w:rsidRPr="001533EE">
        <w:rPr>
          <w:rFonts w:cs="Arial"/>
          <w:sz w:val="24"/>
          <w:szCs w:val="24"/>
        </w:rPr>
        <w:t xml:space="preserve"> </w:t>
      </w:r>
      <w:r w:rsidR="00944B99" w:rsidRPr="001533EE">
        <w:rPr>
          <w:rFonts w:cs="Arial"/>
          <w:sz w:val="24"/>
          <w:szCs w:val="24"/>
        </w:rPr>
        <w:t>Code</w:t>
      </w:r>
      <w:r w:rsidR="00D60988" w:rsidRPr="001533EE">
        <w:rPr>
          <w:rFonts w:cs="Arial"/>
          <w:sz w:val="24"/>
          <w:szCs w:val="24"/>
        </w:rPr>
        <w:t xml:space="preserve"> </w:t>
      </w:r>
      <w:r w:rsidR="00712B3F" w:rsidRPr="001533EE">
        <w:rPr>
          <w:rFonts w:cs="Arial"/>
          <w:sz w:val="24"/>
          <w:szCs w:val="24"/>
        </w:rPr>
        <w:t xml:space="preserve">requires the </w:t>
      </w:r>
      <w:r w:rsidR="00FA7720" w:rsidRPr="001533EE">
        <w:rPr>
          <w:rFonts w:cs="Arial"/>
          <w:sz w:val="24"/>
          <w:szCs w:val="24"/>
        </w:rPr>
        <w:t xml:space="preserve">Authority </w:t>
      </w:r>
      <w:r w:rsidR="00712B3F" w:rsidRPr="001533EE">
        <w:rPr>
          <w:rFonts w:cs="Arial"/>
          <w:sz w:val="24"/>
          <w:szCs w:val="24"/>
        </w:rPr>
        <w:t>to set a range of Prudential Indicators for the next three years</w:t>
      </w:r>
      <w:r w:rsidR="003B529F" w:rsidRPr="001533EE">
        <w:rPr>
          <w:rFonts w:cs="Arial"/>
          <w:sz w:val="24"/>
          <w:szCs w:val="24"/>
        </w:rPr>
        <w:t xml:space="preserve"> </w:t>
      </w:r>
      <w:r w:rsidR="00712B3F" w:rsidRPr="001533EE">
        <w:rPr>
          <w:rFonts w:cs="Arial"/>
          <w:sz w:val="24"/>
          <w:szCs w:val="24"/>
        </w:rPr>
        <w:t xml:space="preserve">as part of the annual </w:t>
      </w:r>
      <w:r w:rsidR="002E6E5A" w:rsidRPr="001533EE">
        <w:rPr>
          <w:rFonts w:cs="Arial"/>
          <w:sz w:val="24"/>
          <w:szCs w:val="24"/>
        </w:rPr>
        <w:t>b</w:t>
      </w:r>
      <w:r w:rsidR="00712B3F" w:rsidRPr="001533EE">
        <w:rPr>
          <w:rFonts w:cs="Arial"/>
          <w:sz w:val="24"/>
          <w:szCs w:val="24"/>
        </w:rPr>
        <w:t>udget process, and</w:t>
      </w:r>
      <w:r w:rsidR="003B529F" w:rsidRPr="001533EE">
        <w:rPr>
          <w:rFonts w:cs="Arial"/>
          <w:sz w:val="24"/>
          <w:szCs w:val="24"/>
        </w:rPr>
        <w:t xml:space="preserve"> </w:t>
      </w:r>
      <w:r w:rsidR="00712B3F" w:rsidRPr="001533EE">
        <w:rPr>
          <w:rFonts w:cs="Arial"/>
          <w:sz w:val="24"/>
          <w:szCs w:val="24"/>
        </w:rPr>
        <w:t>before the start of the financial year</w:t>
      </w:r>
      <w:r w:rsidR="003B529F" w:rsidRPr="001533EE">
        <w:rPr>
          <w:rFonts w:cs="Arial"/>
          <w:sz w:val="24"/>
          <w:szCs w:val="24"/>
        </w:rPr>
        <w:t xml:space="preserve"> </w:t>
      </w:r>
      <w:r w:rsidR="00712B3F" w:rsidRPr="001533EE">
        <w:rPr>
          <w:rFonts w:cs="Arial"/>
          <w:sz w:val="24"/>
          <w:szCs w:val="24"/>
        </w:rPr>
        <w:t xml:space="preserve">to ensure that capital spending plans are affordable, </w:t>
      </w:r>
      <w:r w:rsidR="00341B25" w:rsidRPr="001533EE">
        <w:rPr>
          <w:rFonts w:cs="Arial"/>
          <w:sz w:val="24"/>
          <w:szCs w:val="24"/>
        </w:rPr>
        <w:t>prudent,</w:t>
      </w:r>
      <w:r w:rsidR="00712B3F" w:rsidRPr="001533EE">
        <w:rPr>
          <w:rFonts w:cs="Arial"/>
          <w:sz w:val="24"/>
          <w:szCs w:val="24"/>
        </w:rPr>
        <w:t xml:space="preserve"> and sustainable.</w:t>
      </w:r>
    </w:p>
    <w:p w14:paraId="1A7A435A" w14:textId="77777777" w:rsidR="00FA7720" w:rsidRPr="001533EE" w:rsidRDefault="00FA7720" w:rsidP="00FA7720">
      <w:pPr>
        <w:ind w:left="567" w:hanging="567"/>
        <w:jc w:val="both"/>
        <w:rPr>
          <w:rFonts w:cs="Arial"/>
          <w:color w:val="FF0000"/>
          <w:sz w:val="24"/>
          <w:szCs w:val="24"/>
        </w:rPr>
      </w:pPr>
    </w:p>
    <w:p w14:paraId="78A3C397" w14:textId="4144BA7B" w:rsidR="00EC6B33" w:rsidRPr="001533EE" w:rsidRDefault="00A26B7C" w:rsidP="003B529F">
      <w:pPr>
        <w:ind w:left="709" w:hanging="709"/>
        <w:jc w:val="both"/>
        <w:rPr>
          <w:rFonts w:cs="Arial"/>
          <w:sz w:val="24"/>
          <w:szCs w:val="24"/>
        </w:rPr>
      </w:pPr>
      <w:r w:rsidRPr="001533EE">
        <w:rPr>
          <w:rFonts w:cs="Arial"/>
          <w:sz w:val="24"/>
          <w:szCs w:val="24"/>
        </w:rPr>
        <w:t>2.2</w:t>
      </w:r>
      <w:r w:rsidR="00712B3F" w:rsidRPr="001533EE">
        <w:rPr>
          <w:rFonts w:cs="Arial"/>
          <w:sz w:val="24"/>
          <w:szCs w:val="24"/>
        </w:rPr>
        <w:tab/>
      </w:r>
      <w:r w:rsidR="00EC6B33" w:rsidRPr="001533EE">
        <w:rPr>
          <w:rFonts w:cs="Arial"/>
          <w:sz w:val="24"/>
          <w:szCs w:val="24"/>
        </w:rPr>
        <w:t xml:space="preserve">The </w:t>
      </w:r>
      <w:r w:rsidR="007C580A" w:rsidRPr="009E13A7">
        <w:rPr>
          <w:rFonts w:cs="Arial"/>
          <w:sz w:val="24"/>
          <w:szCs w:val="24"/>
        </w:rPr>
        <w:t>Mayor</w:t>
      </w:r>
      <w:r w:rsidR="00A72E1D">
        <w:rPr>
          <w:rFonts w:cs="Arial"/>
          <w:sz w:val="24"/>
          <w:szCs w:val="24"/>
        </w:rPr>
        <w:t>/Deputy Mayor</w:t>
      </w:r>
      <w:r w:rsidR="00860E16" w:rsidRPr="009E13A7">
        <w:rPr>
          <w:rFonts w:cs="Arial"/>
          <w:sz w:val="24"/>
          <w:szCs w:val="24"/>
        </w:rPr>
        <w:t xml:space="preserve"> </w:t>
      </w:r>
      <w:r w:rsidR="00EC6B33" w:rsidRPr="009E13A7">
        <w:rPr>
          <w:rFonts w:cs="Arial"/>
          <w:sz w:val="24"/>
          <w:szCs w:val="24"/>
        </w:rPr>
        <w:t>will approve</w:t>
      </w:r>
      <w:r w:rsidR="00EC6B33" w:rsidRPr="001533EE">
        <w:rPr>
          <w:rFonts w:cs="Arial"/>
          <w:sz w:val="24"/>
          <w:szCs w:val="24"/>
        </w:rPr>
        <w:t xml:space="preserve"> the Prudential Indicators for a three-year period alongside the annual Revenue Budget/Medium Term Financial Strategy </w:t>
      </w:r>
      <w:r w:rsidR="00B41075" w:rsidRPr="001533EE">
        <w:rPr>
          <w:rFonts w:cs="Arial"/>
          <w:sz w:val="24"/>
          <w:szCs w:val="24"/>
        </w:rPr>
        <w:t xml:space="preserve">for the year. </w:t>
      </w:r>
      <w:r w:rsidR="00EC6B33" w:rsidRPr="001533EE">
        <w:rPr>
          <w:rFonts w:cs="Arial"/>
          <w:sz w:val="24"/>
          <w:szCs w:val="24"/>
        </w:rPr>
        <w:t xml:space="preserve">The </w:t>
      </w:r>
      <w:r w:rsidR="00E537D7" w:rsidRPr="001533EE">
        <w:rPr>
          <w:rFonts w:cs="Arial"/>
          <w:sz w:val="24"/>
          <w:szCs w:val="24"/>
        </w:rPr>
        <w:t>indicators</w:t>
      </w:r>
      <w:r w:rsidR="00EC6B33" w:rsidRPr="001533EE">
        <w:rPr>
          <w:rFonts w:cs="Arial"/>
          <w:sz w:val="24"/>
          <w:szCs w:val="24"/>
        </w:rPr>
        <w:t xml:space="preserve"> will be monitored during the year and revisions </w:t>
      </w:r>
      <w:r w:rsidR="00E537D7" w:rsidRPr="001533EE">
        <w:rPr>
          <w:rFonts w:cs="Arial"/>
          <w:sz w:val="24"/>
          <w:szCs w:val="24"/>
        </w:rPr>
        <w:t>submitted,</w:t>
      </w:r>
      <w:r w:rsidR="00EC6B33" w:rsidRPr="001533EE">
        <w:rPr>
          <w:rFonts w:cs="Arial"/>
          <w:sz w:val="24"/>
          <w:szCs w:val="24"/>
        </w:rPr>
        <w:t xml:space="preserve"> as necessary.</w:t>
      </w:r>
    </w:p>
    <w:p w14:paraId="60B979D4" w14:textId="77777777" w:rsidR="00FA2EA8" w:rsidRPr="001533EE" w:rsidRDefault="00FA2EA8" w:rsidP="00FA7720">
      <w:pPr>
        <w:ind w:left="567" w:hanging="567"/>
        <w:jc w:val="both"/>
        <w:rPr>
          <w:rFonts w:cs="Arial"/>
          <w:sz w:val="24"/>
          <w:szCs w:val="24"/>
        </w:rPr>
      </w:pPr>
    </w:p>
    <w:p w14:paraId="46839ECB" w14:textId="14D03CF9" w:rsidR="00FA2EA8" w:rsidRPr="001533EE" w:rsidRDefault="00FA2EA8" w:rsidP="003B529F">
      <w:pPr>
        <w:ind w:firstLine="709"/>
        <w:rPr>
          <w:rFonts w:cs="Arial"/>
          <w:sz w:val="24"/>
          <w:szCs w:val="24"/>
        </w:rPr>
      </w:pPr>
      <w:r w:rsidRPr="001533EE">
        <w:rPr>
          <w:rFonts w:cs="Arial"/>
          <w:sz w:val="24"/>
          <w:szCs w:val="24"/>
        </w:rPr>
        <w:t>The required Prudential Indicators are as follows:</w:t>
      </w:r>
    </w:p>
    <w:p w14:paraId="426FB759" w14:textId="77777777" w:rsidR="00FA2EA8" w:rsidRPr="001533EE" w:rsidRDefault="00FA2EA8" w:rsidP="00FA2EA8">
      <w:pPr>
        <w:rPr>
          <w:rFonts w:cs="Arial"/>
          <w:sz w:val="24"/>
          <w:szCs w:val="24"/>
        </w:rPr>
      </w:pPr>
    </w:p>
    <w:p w14:paraId="52D9B6DC" w14:textId="2289FB6A" w:rsidR="00FA2EA8" w:rsidRPr="001533EE" w:rsidRDefault="00FA2EA8" w:rsidP="006A2F03">
      <w:pPr>
        <w:numPr>
          <w:ilvl w:val="3"/>
          <w:numId w:val="15"/>
        </w:numPr>
        <w:ind w:left="1134" w:hanging="425"/>
        <w:rPr>
          <w:rFonts w:cs="Arial"/>
          <w:sz w:val="24"/>
          <w:szCs w:val="24"/>
        </w:rPr>
      </w:pPr>
      <w:r w:rsidRPr="001533EE">
        <w:rPr>
          <w:rFonts w:cs="Arial"/>
          <w:sz w:val="24"/>
          <w:szCs w:val="24"/>
        </w:rPr>
        <w:t>Capital Expenditure - Actual and Forecasts</w:t>
      </w:r>
    </w:p>
    <w:p w14:paraId="7D6AFF2E" w14:textId="46E90DF4" w:rsidR="00FA2EA8" w:rsidRPr="001533EE" w:rsidRDefault="00FA2EA8" w:rsidP="006A2F03">
      <w:pPr>
        <w:numPr>
          <w:ilvl w:val="3"/>
          <w:numId w:val="15"/>
        </w:numPr>
        <w:ind w:left="1134" w:hanging="425"/>
        <w:rPr>
          <w:rFonts w:cs="Arial"/>
          <w:sz w:val="24"/>
          <w:szCs w:val="24"/>
        </w:rPr>
      </w:pPr>
      <w:r w:rsidRPr="001533EE">
        <w:rPr>
          <w:rFonts w:cs="Arial"/>
          <w:sz w:val="24"/>
          <w:szCs w:val="24"/>
        </w:rPr>
        <w:t xml:space="preserve">Capital Financing Requirement </w:t>
      </w:r>
    </w:p>
    <w:p w14:paraId="1CA997CA" w14:textId="0481B178" w:rsidR="00FA2EA8" w:rsidRPr="001533EE" w:rsidRDefault="00663E7D" w:rsidP="006A2F03">
      <w:pPr>
        <w:numPr>
          <w:ilvl w:val="3"/>
          <w:numId w:val="15"/>
        </w:numPr>
        <w:ind w:left="1134" w:hanging="425"/>
        <w:rPr>
          <w:rFonts w:cs="Arial"/>
          <w:sz w:val="24"/>
          <w:szCs w:val="24"/>
        </w:rPr>
      </w:pPr>
      <w:r w:rsidRPr="001533EE">
        <w:rPr>
          <w:rFonts w:cs="Arial"/>
          <w:sz w:val="24"/>
          <w:szCs w:val="24"/>
        </w:rPr>
        <w:t xml:space="preserve">Net Borrowing </w:t>
      </w:r>
      <w:r w:rsidR="00FA2EA8" w:rsidRPr="001533EE">
        <w:rPr>
          <w:rFonts w:cs="Arial"/>
          <w:sz w:val="24"/>
          <w:szCs w:val="24"/>
        </w:rPr>
        <w:t>and the Capital Financing Requirement</w:t>
      </w:r>
    </w:p>
    <w:p w14:paraId="3CD16757" w14:textId="77D4E483" w:rsidR="00FA2EA8" w:rsidRPr="001533EE" w:rsidRDefault="00EC6B33" w:rsidP="006A2F03">
      <w:pPr>
        <w:numPr>
          <w:ilvl w:val="3"/>
          <w:numId w:val="15"/>
        </w:numPr>
        <w:ind w:left="1134" w:hanging="425"/>
        <w:rPr>
          <w:rFonts w:cs="Arial"/>
          <w:sz w:val="24"/>
          <w:szCs w:val="24"/>
        </w:rPr>
      </w:pPr>
      <w:r w:rsidRPr="001533EE">
        <w:rPr>
          <w:rFonts w:cs="Arial"/>
          <w:sz w:val="24"/>
          <w:szCs w:val="24"/>
        </w:rPr>
        <w:t>A</w:t>
      </w:r>
      <w:r w:rsidR="00FA2EA8" w:rsidRPr="001533EE">
        <w:rPr>
          <w:rFonts w:cs="Arial"/>
          <w:sz w:val="24"/>
          <w:szCs w:val="24"/>
        </w:rPr>
        <w:t>uthorised Limit for External Debt</w:t>
      </w:r>
    </w:p>
    <w:p w14:paraId="7C112F93" w14:textId="35817272" w:rsidR="00FA2EA8" w:rsidRPr="001533EE" w:rsidRDefault="00EC6B33" w:rsidP="006A2F03">
      <w:pPr>
        <w:numPr>
          <w:ilvl w:val="3"/>
          <w:numId w:val="15"/>
        </w:numPr>
        <w:ind w:left="1134" w:hanging="425"/>
        <w:rPr>
          <w:rFonts w:cs="Arial"/>
          <w:sz w:val="24"/>
          <w:szCs w:val="24"/>
        </w:rPr>
      </w:pPr>
      <w:r w:rsidRPr="001533EE">
        <w:rPr>
          <w:rFonts w:cs="Arial"/>
          <w:sz w:val="24"/>
          <w:szCs w:val="24"/>
        </w:rPr>
        <w:t>O</w:t>
      </w:r>
      <w:r w:rsidR="00FA2EA8" w:rsidRPr="001533EE">
        <w:rPr>
          <w:rFonts w:cs="Arial"/>
          <w:sz w:val="24"/>
          <w:szCs w:val="24"/>
        </w:rPr>
        <w:t>perational Boundary for External Debt</w:t>
      </w:r>
    </w:p>
    <w:p w14:paraId="561B06FB" w14:textId="202DF088" w:rsidR="00FA2EA8" w:rsidRPr="001533EE" w:rsidRDefault="00FA2EA8" w:rsidP="006A2F03">
      <w:pPr>
        <w:numPr>
          <w:ilvl w:val="3"/>
          <w:numId w:val="15"/>
        </w:numPr>
        <w:ind w:left="1134" w:hanging="425"/>
        <w:rPr>
          <w:rFonts w:cs="Arial"/>
          <w:sz w:val="24"/>
          <w:szCs w:val="24"/>
        </w:rPr>
      </w:pPr>
      <w:r w:rsidRPr="001533EE">
        <w:rPr>
          <w:rFonts w:cs="Arial"/>
          <w:sz w:val="24"/>
          <w:szCs w:val="24"/>
        </w:rPr>
        <w:t>Actual External Debt</w:t>
      </w:r>
    </w:p>
    <w:p w14:paraId="1D7153CC" w14:textId="1E61EEB3" w:rsidR="00DD7EC9" w:rsidRPr="001533EE" w:rsidRDefault="00DD7EC9" w:rsidP="006A2F03">
      <w:pPr>
        <w:numPr>
          <w:ilvl w:val="3"/>
          <w:numId w:val="15"/>
        </w:numPr>
        <w:ind w:left="1134" w:hanging="425"/>
        <w:rPr>
          <w:rFonts w:cs="Arial"/>
          <w:sz w:val="24"/>
          <w:szCs w:val="24"/>
        </w:rPr>
      </w:pPr>
      <w:r w:rsidRPr="001533EE">
        <w:rPr>
          <w:rFonts w:cs="Arial"/>
          <w:sz w:val="24"/>
          <w:szCs w:val="24"/>
        </w:rPr>
        <w:t>Liability Benchmark</w:t>
      </w:r>
    </w:p>
    <w:p w14:paraId="0367C0B5" w14:textId="0D4625CD" w:rsidR="00FA2EA8" w:rsidRPr="001533EE" w:rsidRDefault="00FA2EA8" w:rsidP="006A2F03">
      <w:pPr>
        <w:numPr>
          <w:ilvl w:val="3"/>
          <w:numId w:val="15"/>
        </w:numPr>
        <w:ind w:left="1134" w:hanging="425"/>
        <w:rPr>
          <w:rFonts w:cs="Arial"/>
          <w:sz w:val="24"/>
          <w:szCs w:val="24"/>
        </w:rPr>
      </w:pPr>
      <w:r w:rsidRPr="001533EE">
        <w:rPr>
          <w:rFonts w:cs="Arial"/>
          <w:sz w:val="24"/>
          <w:szCs w:val="24"/>
        </w:rPr>
        <w:t>Maturity Structure of Borrowing</w:t>
      </w:r>
    </w:p>
    <w:p w14:paraId="5B2C72D7" w14:textId="36F31EB0" w:rsidR="008A12EF" w:rsidRPr="001533EE" w:rsidRDefault="00FA2EA8" w:rsidP="006A2F03">
      <w:pPr>
        <w:numPr>
          <w:ilvl w:val="3"/>
          <w:numId w:val="15"/>
        </w:numPr>
        <w:ind w:left="1134" w:hanging="425"/>
        <w:rPr>
          <w:rFonts w:cs="Arial"/>
          <w:sz w:val="24"/>
          <w:szCs w:val="24"/>
        </w:rPr>
      </w:pPr>
      <w:r w:rsidRPr="001533EE">
        <w:rPr>
          <w:rFonts w:cs="Arial"/>
          <w:sz w:val="24"/>
          <w:szCs w:val="24"/>
        </w:rPr>
        <w:t>Total Principal Sums Invested for periods longer than 365 days</w:t>
      </w:r>
    </w:p>
    <w:p w14:paraId="15ABB4E3" w14:textId="77777777" w:rsidR="00EC6B33" w:rsidRDefault="00EC6B33" w:rsidP="00EC6B33">
      <w:pPr>
        <w:jc w:val="both"/>
        <w:rPr>
          <w:rFonts w:cs="Arial"/>
          <w:b/>
          <w:sz w:val="24"/>
          <w:szCs w:val="24"/>
        </w:rPr>
      </w:pPr>
    </w:p>
    <w:p w14:paraId="0D04156E" w14:textId="77777777" w:rsidR="00860E16" w:rsidRDefault="00860E16" w:rsidP="00EC6B33">
      <w:pPr>
        <w:jc w:val="both"/>
        <w:rPr>
          <w:rFonts w:cs="Arial"/>
          <w:b/>
          <w:sz w:val="24"/>
          <w:szCs w:val="24"/>
        </w:rPr>
      </w:pPr>
    </w:p>
    <w:p w14:paraId="5DE327ED" w14:textId="77777777" w:rsidR="00A72E1D" w:rsidRDefault="00A72E1D" w:rsidP="00EC6B33">
      <w:pPr>
        <w:jc w:val="both"/>
        <w:rPr>
          <w:rFonts w:cs="Arial"/>
          <w:b/>
          <w:sz w:val="24"/>
          <w:szCs w:val="24"/>
        </w:rPr>
      </w:pPr>
    </w:p>
    <w:p w14:paraId="2FB1F9F8" w14:textId="77777777" w:rsidR="00A72E1D" w:rsidRDefault="00A72E1D" w:rsidP="00EC6B33">
      <w:pPr>
        <w:jc w:val="both"/>
        <w:rPr>
          <w:rFonts w:cs="Arial"/>
          <w:b/>
          <w:sz w:val="24"/>
          <w:szCs w:val="24"/>
        </w:rPr>
      </w:pPr>
    </w:p>
    <w:p w14:paraId="073CBC0D" w14:textId="77777777" w:rsidR="00A72E1D" w:rsidRDefault="00A72E1D" w:rsidP="00EC6B33">
      <w:pPr>
        <w:jc w:val="both"/>
        <w:rPr>
          <w:rFonts w:cs="Arial"/>
          <w:b/>
          <w:sz w:val="24"/>
          <w:szCs w:val="24"/>
        </w:rPr>
      </w:pPr>
    </w:p>
    <w:p w14:paraId="671E8DD5" w14:textId="77777777" w:rsidR="00A72E1D" w:rsidRDefault="00A72E1D" w:rsidP="00EC6B33">
      <w:pPr>
        <w:jc w:val="both"/>
        <w:rPr>
          <w:rFonts w:cs="Arial"/>
          <w:b/>
          <w:sz w:val="24"/>
          <w:szCs w:val="24"/>
        </w:rPr>
      </w:pPr>
    </w:p>
    <w:p w14:paraId="5BE54B63" w14:textId="77777777" w:rsidR="00A72E1D" w:rsidRPr="001533EE" w:rsidRDefault="00A72E1D" w:rsidP="00EC6B33">
      <w:pPr>
        <w:jc w:val="both"/>
        <w:rPr>
          <w:rFonts w:cs="Arial"/>
          <w:b/>
          <w:sz w:val="24"/>
          <w:szCs w:val="24"/>
        </w:rPr>
      </w:pPr>
    </w:p>
    <w:p w14:paraId="659DB7CE" w14:textId="38B5A786" w:rsidR="00EC6B33" w:rsidRPr="001533EE" w:rsidRDefault="00EC6B33" w:rsidP="00EC6B33">
      <w:pPr>
        <w:ind w:firstLine="709"/>
        <w:jc w:val="both"/>
        <w:rPr>
          <w:rFonts w:cs="Arial"/>
          <w:b/>
          <w:sz w:val="24"/>
          <w:szCs w:val="24"/>
        </w:rPr>
      </w:pPr>
      <w:r w:rsidRPr="001533EE">
        <w:rPr>
          <w:rFonts w:cs="Arial"/>
          <w:b/>
          <w:sz w:val="24"/>
          <w:szCs w:val="24"/>
        </w:rPr>
        <w:t>MINIMUM REVENUE PROVISION (MRP) POLICY FOR 202</w:t>
      </w:r>
      <w:r w:rsidR="005406BE">
        <w:rPr>
          <w:rFonts w:cs="Arial"/>
          <w:b/>
          <w:sz w:val="24"/>
          <w:szCs w:val="24"/>
        </w:rPr>
        <w:t>6</w:t>
      </w:r>
      <w:r w:rsidRPr="001533EE">
        <w:rPr>
          <w:rFonts w:cs="Arial"/>
          <w:b/>
          <w:sz w:val="24"/>
          <w:szCs w:val="24"/>
        </w:rPr>
        <w:t>/2</w:t>
      </w:r>
      <w:r w:rsidR="005406BE">
        <w:rPr>
          <w:rFonts w:cs="Arial"/>
          <w:b/>
          <w:sz w:val="24"/>
          <w:szCs w:val="24"/>
        </w:rPr>
        <w:t>7</w:t>
      </w:r>
    </w:p>
    <w:p w14:paraId="6EA140A3" w14:textId="77777777" w:rsidR="00EC6B33" w:rsidRPr="001533EE" w:rsidRDefault="00EC6B33" w:rsidP="00EC6B33">
      <w:pPr>
        <w:ind w:left="720" w:hanging="720"/>
        <w:jc w:val="both"/>
        <w:rPr>
          <w:rFonts w:cs="Arial"/>
          <w:sz w:val="24"/>
          <w:szCs w:val="24"/>
        </w:rPr>
      </w:pPr>
    </w:p>
    <w:p w14:paraId="6E573C11" w14:textId="7EDE9945" w:rsidR="00EC6B33" w:rsidRPr="001533EE" w:rsidRDefault="00EC6B33" w:rsidP="00EC6B33">
      <w:pPr>
        <w:pStyle w:val="BodyText"/>
        <w:ind w:left="709" w:hanging="709"/>
        <w:rPr>
          <w:rFonts w:cs="Arial"/>
          <w:szCs w:val="24"/>
        </w:rPr>
      </w:pPr>
      <w:r w:rsidRPr="001533EE">
        <w:rPr>
          <w:rFonts w:cs="Arial"/>
          <w:szCs w:val="24"/>
        </w:rPr>
        <w:t>2.3</w:t>
      </w:r>
      <w:r w:rsidRPr="001533EE">
        <w:rPr>
          <w:rFonts w:cs="Arial"/>
          <w:szCs w:val="24"/>
        </w:rPr>
        <w:tab/>
        <w:t xml:space="preserve">Under Regulation 27 of the Local Authorities (Capital Finance and Accounting) (England) Regulations 2003, where the Authority has financed capital expenditure by </w:t>
      </w:r>
      <w:r w:rsidRPr="0054171B">
        <w:rPr>
          <w:rFonts w:cs="Arial"/>
          <w:szCs w:val="24"/>
        </w:rPr>
        <w:t>borrowing</w:t>
      </w:r>
      <w:r w:rsidR="0054171B" w:rsidRPr="0054171B">
        <w:rPr>
          <w:rFonts w:cs="Arial"/>
          <w:szCs w:val="24"/>
        </w:rPr>
        <w:t>,</w:t>
      </w:r>
      <w:r w:rsidRPr="0054171B">
        <w:rPr>
          <w:rFonts w:cs="Arial"/>
          <w:szCs w:val="24"/>
        </w:rPr>
        <w:t xml:space="preserve"> it is required</w:t>
      </w:r>
      <w:r w:rsidRPr="001533EE">
        <w:rPr>
          <w:rFonts w:cs="Arial"/>
          <w:szCs w:val="24"/>
        </w:rPr>
        <w:t xml:space="preserve"> to make a provision each year through a revenue charge, known as Minimum Revenue provision (MRP).  The Authority is also allowed to undertake additional voluntary payments, the Voluntary Revenue provision (VRP), if required.</w:t>
      </w:r>
    </w:p>
    <w:p w14:paraId="23A850BD" w14:textId="77777777" w:rsidR="00EC6B33" w:rsidRPr="001533EE" w:rsidRDefault="00EC6B33" w:rsidP="00EC6B33">
      <w:pPr>
        <w:pStyle w:val="BodyText"/>
        <w:ind w:left="567"/>
        <w:rPr>
          <w:rFonts w:cs="Arial"/>
          <w:szCs w:val="24"/>
        </w:rPr>
      </w:pPr>
    </w:p>
    <w:p w14:paraId="0B2E202E" w14:textId="56D8BF4D" w:rsidR="00EC6B33" w:rsidRPr="001533EE" w:rsidRDefault="00EC6B33" w:rsidP="00EC6B33">
      <w:pPr>
        <w:pStyle w:val="BodyText"/>
        <w:ind w:left="709"/>
        <w:rPr>
          <w:rFonts w:cs="Arial"/>
          <w:szCs w:val="24"/>
        </w:rPr>
      </w:pPr>
      <w:r w:rsidRPr="001533EE">
        <w:rPr>
          <w:rFonts w:cs="Arial"/>
          <w:szCs w:val="24"/>
        </w:rPr>
        <w:t>The Authority is required to calculate a prudent provision of MRP which ensures that the outstanding debt liability is repaid over a period that is reasonably commensurate with that over which the capital expenditure provides benefits. The MRP Guidance gives four ready-made options for calculating MRP, however the Authority can use any other reasonable basis that it can justify as prudent.</w:t>
      </w:r>
    </w:p>
    <w:p w14:paraId="2A3567DE" w14:textId="77777777" w:rsidR="00EC6B33" w:rsidRPr="001533EE" w:rsidRDefault="00EC6B33" w:rsidP="00EC6B33">
      <w:pPr>
        <w:pStyle w:val="ListParagraph"/>
        <w:ind w:left="0"/>
        <w:contextualSpacing w:val="0"/>
        <w:jc w:val="both"/>
        <w:rPr>
          <w:rFonts w:cs="Arial"/>
          <w:sz w:val="24"/>
          <w:szCs w:val="24"/>
        </w:rPr>
      </w:pPr>
    </w:p>
    <w:p w14:paraId="5DDE78ED" w14:textId="059E299E" w:rsidR="00EC6B33" w:rsidRPr="001533EE" w:rsidRDefault="00EC6B33" w:rsidP="00EC6B33">
      <w:pPr>
        <w:pStyle w:val="ListParagraph"/>
        <w:ind w:left="709" w:hanging="709"/>
        <w:contextualSpacing w:val="0"/>
        <w:jc w:val="both"/>
        <w:rPr>
          <w:rFonts w:cs="Arial"/>
          <w:sz w:val="24"/>
          <w:szCs w:val="24"/>
        </w:rPr>
      </w:pPr>
      <w:r w:rsidRPr="001533EE">
        <w:rPr>
          <w:rFonts w:cs="Arial"/>
          <w:sz w:val="24"/>
          <w:szCs w:val="24"/>
        </w:rPr>
        <w:t xml:space="preserve">2.4 </w:t>
      </w:r>
      <w:r w:rsidRPr="001533EE">
        <w:rPr>
          <w:rFonts w:cs="Arial"/>
          <w:sz w:val="24"/>
          <w:szCs w:val="24"/>
        </w:rPr>
        <w:tab/>
        <w:t xml:space="preserve">MHCLG Guidance requires the Authority to approve an MRP Policy Statement in advance of each year. The MRP guidance offers a range of options, with an overriding </w:t>
      </w:r>
      <w:r w:rsidRPr="0054171B">
        <w:rPr>
          <w:rFonts w:cs="Arial"/>
          <w:sz w:val="24"/>
          <w:szCs w:val="24"/>
        </w:rPr>
        <w:t>recommendation that there should be prudent provision. The proposed policy for 202</w:t>
      </w:r>
      <w:r w:rsidR="005406BE">
        <w:rPr>
          <w:rFonts w:cs="Arial"/>
          <w:sz w:val="24"/>
          <w:szCs w:val="24"/>
        </w:rPr>
        <w:t>6</w:t>
      </w:r>
      <w:r w:rsidRPr="0054171B">
        <w:rPr>
          <w:rFonts w:cs="Arial"/>
          <w:sz w:val="24"/>
          <w:szCs w:val="24"/>
        </w:rPr>
        <w:t>/2</w:t>
      </w:r>
      <w:r w:rsidR="005406BE">
        <w:rPr>
          <w:rFonts w:cs="Arial"/>
          <w:sz w:val="24"/>
          <w:szCs w:val="24"/>
        </w:rPr>
        <w:t>7</w:t>
      </w:r>
      <w:r w:rsidRPr="0054171B">
        <w:rPr>
          <w:rFonts w:cs="Arial"/>
          <w:sz w:val="24"/>
          <w:szCs w:val="24"/>
        </w:rPr>
        <w:t xml:space="preserve"> is as follows:</w:t>
      </w:r>
    </w:p>
    <w:p w14:paraId="27895F2F" w14:textId="77777777" w:rsidR="00EC6B33" w:rsidRPr="001533EE" w:rsidRDefault="00EC6B33" w:rsidP="00EC6B33">
      <w:pPr>
        <w:jc w:val="both"/>
        <w:rPr>
          <w:rFonts w:cs="Arial"/>
          <w:color w:val="000000"/>
          <w:sz w:val="24"/>
          <w:szCs w:val="24"/>
        </w:rPr>
      </w:pPr>
    </w:p>
    <w:p w14:paraId="5C15563B" w14:textId="4C0C9718" w:rsidR="00EC6B33" w:rsidRPr="001533EE" w:rsidRDefault="00EC6B33" w:rsidP="006A2F03">
      <w:pPr>
        <w:numPr>
          <w:ilvl w:val="0"/>
          <w:numId w:val="6"/>
        </w:numPr>
        <w:ind w:left="1134" w:hanging="425"/>
        <w:jc w:val="both"/>
        <w:rPr>
          <w:rFonts w:cs="Arial"/>
          <w:sz w:val="24"/>
          <w:szCs w:val="24"/>
        </w:rPr>
      </w:pPr>
      <w:r w:rsidRPr="001533EE">
        <w:rPr>
          <w:rFonts w:cs="Arial"/>
          <w:sz w:val="24"/>
          <w:szCs w:val="24"/>
        </w:rPr>
        <w:t xml:space="preserve">for all capital expenditure incurred before 1 April 2008, MRP will be based on 4% of the Capital Financing Requirement (CFR) </w:t>
      </w:r>
      <w:r w:rsidR="009F3378" w:rsidRPr="001533EE">
        <w:rPr>
          <w:rFonts w:cs="Arial"/>
          <w:sz w:val="24"/>
          <w:szCs w:val="24"/>
        </w:rPr>
        <w:t>on a reducing balance basis</w:t>
      </w:r>
      <w:r w:rsidR="00A57ED3" w:rsidRPr="001533EE">
        <w:rPr>
          <w:rFonts w:cs="Arial"/>
          <w:sz w:val="24"/>
          <w:szCs w:val="24"/>
        </w:rPr>
        <w:t>.</w:t>
      </w:r>
    </w:p>
    <w:p w14:paraId="4A4E9061" w14:textId="77777777" w:rsidR="00E404BE" w:rsidRPr="001533EE" w:rsidRDefault="00E404BE" w:rsidP="00E404BE">
      <w:pPr>
        <w:ind w:left="1134"/>
        <w:jc w:val="both"/>
        <w:rPr>
          <w:rFonts w:cs="Arial"/>
          <w:sz w:val="24"/>
          <w:szCs w:val="24"/>
        </w:rPr>
      </w:pPr>
    </w:p>
    <w:p w14:paraId="034F7A81" w14:textId="0FECB25B" w:rsidR="00E404BE" w:rsidRPr="001533EE" w:rsidRDefault="00E404BE" w:rsidP="006A2F03">
      <w:pPr>
        <w:numPr>
          <w:ilvl w:val="0"/>
          <w:numId w:val="6"/>
        </w:numPr>
        <w:ind w:left="1134" w:hanging="425"/>
        <w:jc w:val="both"/>
        <w:rPr>
          <w:rFonts w:cs="Arial"/>
          <w:sz w:val="24"/>
          <w:szCs w:val="24"/>
        </w:rPr>
      </w:pPr>
      <w:r w:rsidRPr="001533EE">
        <w:rPr>
          <w:rFonts w:cs="Arial"/>
          <w:sz w:val="24"/>
          <w:szCs w:val="24"/>
        </w:rPr>
        <w:t>From 1 April 2008</w:t>
      </w:r>
      <w:r w:rsidR="00672E77" w:rsidRPr="001533EE">
        <w:rPr>
          <w:rFonts w:cs="Arial"/>
          <w:sz w:val="24"/>
          <w:szCs w:val="24"/>
        </w:rPr>
        <w:t>,</w:t>
      </w:r>
      <w:r w:rsidRPr="001533EE">
        <w:rPr>
          <w:rFonts w:cs="Arial"/>
          <w:sz w:val="24"/>
          <w:szCs w:val="24"/>
        </w:rPr>
        <w:t xml:space="preserve"> for all unsupported borrowing not covered by points (c) and (d) below, the MRP policy will </w:t>
      </w:r>
      <w:proofErr w:type="gramStart"/>
      <w:r w:rsidRPr="001533EE">
        <w:rPr>
          <w:rFonts w:cs="Arial"/>
          <w:sz w:val="24"/>
          <w:szCs w:val="24"/>
        </w:rPr>
        <w:t>be;</w:t>
      </w:r>
      <w:proofErr w:type="gramEnd"/>
      <w:r w:rsidRPr="001533EE">
        <w:rPr>
          <w:rFonts w:cs="Arial"/>
          <w:sz w:val="24"/>
          <w:szCs w:val="24"/>
        </w:rPr>
        <w:t xml:space="preserve">  </w:t>
      </w:r>
    </w:p>
    <w:p w14:paraId="51EB9ACC" w14:textId="6D8C6339" w:rsidR="00E404BE" w:rsidRPr="001533EE" w:rsidRDefault="00E404BE" w:rsidP="00E404BE">
      <w:pPr>
        <w:pStyle w:val="subhead"/>
        <w:ind w:left="1134"/>
        <w:rPr>
          <w:b w:val="0"/>
          <w:noProof w:val="0"/>
          <w:sz w:val="24"/>
          <w:szCs w:val="24"/>
        </w:rPr>
      </w:pPr>
      <w:r w:rsidRPr="001533EE">
        <w:rPr>
          <w:bCs/>
          <w:noProof w:val="0"/>
          <w:sz w:val="24"/>
          <w:szCs w:val="24"/>
        </w:rPr>
        <w:t>Asset life method</w:t>
      </w:r>
      <w:r w:rsidRPr="001533EE">
        <w:rPr>
          <w:b w:val="0"/>
          <w:noProof w:val="0"/>
          <w:sz w:val="24"/>
          <w:szCs w:val="24"/>
        </w:rPr>
        <w:t xml:space="preserve"> (option 3 of the statutory guidance) - MRP will be based on the estimated life of the assets using equal instalments of principal.  In accordance with the regulations this option must also be applied for any expenditure capitalised under a Capitalisation Direction.  </w:t>
      </w:r>
    </w:p>
    <w:p w14:paraId="5610C7E4" w14:textId="77777777" w:rsidR="00E404BE" w:rsidRPr="001533EE" w:rsidRDefault="00E404BE" w:rsidP="00E404BE">
      <w:pPr>
        <w:ind w:left="709"/>
        <w:jc w:val="both"/>
        <w:rPr>
          <w:rFonts w:cs="Arial"/>
          <w:bCs/>
          <w:sz w:val="24"/>
          <w:szCs w:val="24"/>
        </w:rPr>
      </w:pPr>
      <w:r w:rsidRPr="001533EE">
        <w:rPr>
          <w:rFonts w:cs="Arial"/>
          <w:bCs/>
          <w:sz w:val="24"/>
          <w:szCs w:val="24"/>
        </w:rPr>
        <w:t>The asset life method provides for a reduction in the borrowing need over the asset’s life. The Authority has applied the Depreciation Method from 1st April 2019. This allows it to make a more prudent provision in that it will recognise, where applicable, that assets are still worth ‘something’ after their useful lives have expired and minimise the impact on revenue.</w:t>
      </w:r>
    </w:p>
    <w:p w14:paraId="569E69CA" w14:textId="5CD148C6" w:rsidR="00E404BE" w:rsidRPr="001533EE" w:rsidRDefault="00E404BE" w:rsidP="00E404BE">
      <w:pPr>
        <w:pStyle w:val="subhead"/>
        <w:spacing w:before="0" w:after="0"/>
        <w:ind w:left="1134"/>
        <w:rPr>
          <w:b w:val="0"/>
          <w:noProof w:val="0"/>
          <w:sz w:val="24"/>
          <w:szCs w:val="24"/>
        </w:rPr>
      </w:pPr>
    </w:p>
    <w:p w14:paraId="08A20AD6" w14:textId="31E7D994" w:rsidR="00E404BE" w:rsidRPr="001533EE" w:rsidRDefault="00E404BE" w:rsidP="00E404BE">
      <w:pPr>
        <w:ind w:left="709"/>
        <w:jc w:val="both"/>
        <w:rPr>
          <w:rFonts w:cs="Arial"/>
          <w:sz w:val="24"/>
          <w:szCs w:val="24"/>
        </w:rPr>
      </w:pPr>
      <w:r w:rsidRPr="001533EE">
        <w:rPr>
          <w:rFonts w:cs="Arial"/>
          <w:sz w:val="24"/>
          <w:szCs w:val="24"/>
        </w:rPr>
        <w:t xml:space="preserve">The estimated life of relevant assets will be assessed each year based on types of capital expenditure incurred but in general will </w:t>
      </w:r>
      <w:r w:rsidR="00672E77" w:rsidRPr="001533EE">
        <w:rPr>
          <w:rFonts w:cs="Arial"/>
          <w:sz w:val="24"/>
          <w:szCs w:val="24"/>
        </w:rPr>
        <w:t xml:space="preserve">be </w:t>
      </w:r>
      <w:r w:rsidRPr="001533EE">
        <w:rPr>
          <w:rFonts w:cs="Arial"/>
          <w:sz w:val="24"/>
          <w:szCs w:val="24"/>
        </w:rPr>
        <w:t>between 40 to 50 years for property and land,</w:t>
      </w:r>
      <w:r w:rsidRPr="001533EE">
        <w:rPr>
          <w:rFonts w:cs="Arial"/>
          <w:color w:val="FF0000"/>
          <w:sz w:val="24"/>
          <w:szCs w:val="24"/>
        </w:rPr>
        <w:t xml:space="preserve"> </w:t>
      </w:r>
      <w:r w:rsidRPr="001533EE">
        <w:rPr>
          <w:rFonts w:cs="Arial"/>
          <w:sz w:val="24"/>
          <w:szCs w:val="24"/>
        </w:rPr>
        <w:t>and 5 to 15 years for vehicles, plant, and equipment. To the extent that expenditure does not create a physical asset and is of a type that is subject to estimated life periods that are referred to in the guidance</w:t>
      </w:r>
      <w:r w:rsidR="00672E77" w:rsidRPr="001533EE">
        <w:rPr>
          <w:rFonts w:cs="Arial"/>
          <w:sz w:val="24"/>
          <w:szCs w:val="24"/>
        </w:rPr>
        <w:t>,</w:t>
      </w:r>
      <w:r w:rsidRPr="001533EE">
        <w:rPr>
          <w:rFonts w:cs="Arial"/>
          <w:sz w:val="24"/>
          <w:szCs w:val="24"/>
        </w:rPr>
        <w:t xml:space="preserve"> e.g</w:t>
      </w:r>
      <w:r w:rsidR="00672E77" w:rsidRPr="001533EE">
        <w:rPr>
          <w:rFonts w:cs="Arial"/>
          <w:sz w:val="24"/>
          <w:szCs w:val="24"/>
        </w:rPr>
        <w:t>.</w:t>
      </w:r>
      <w:r w:rsidRPr="001533EE">
        <w:rPr>
          <w:rFonts w:cs="Arial"/>
          <w:sz w:val="24"/>
          <w:szCs w:val="24"/>
        </w:rPr>
        <w:t xml:space="preserve"> software licences, these periods will generally be adopted by the Authority.</w:t>
      </w:r>
    </w:p>
    <w:p w14:paraId="4B86669E" w14:textId="77777777" w:rsidR="00E404BE" w:rsidRPr="001533EE" w:rsidRDefault="00E404BE" w:rsidP="00E404BE">
      <w:pPr>
        <w:ind w:left="709"/>
        <w:jc w:val="both"/>
        <w:rPr>
          <w:rFonts w:cs="Arial"/>
          <w:sz w:val="24"/>
          <w:szCs w:val="24"/>
        </w:rPr>
      </w:pPr>
    </w:p>
    <w:p w14:paraId="7E1BA20C" w14:textId="77777777" w:rsidR="00E404BE" w:rsidRPr="001533EE" w:rsidRDefault="00E404BE" w:rsidP="00E404BE">
      <w:pPr>
        <w:ind w:left="709"/>
        <w:jc w:val="both"/>
        <w:rPr>
          <w:rFonts w:cs="Arial"/>
          <w:sz w:val="24"/>
          <w:szCs w:val="24"/>
        </w:rPr>
      </w:pPr>
      <w:r w:rsidRPr="001533EE">
        <w:rPr>
          <w:rFonts w:cs="Arial"/>
          <w:sz w:val="24"/>
          <w:szCs w:val="24"/>
        </w:rPr>
        <w:t>The guidance also allows the Authority to defer the introduction of an MRP charge for new capital projects/land purchases until the year after that in which the new asset becomes operational, rather than in the year borrowing is required to finance the capital spending.  This approach can be beneficial for projects that take more than one year to complete and is therefore included as part of the MRP policy.</w:t>
      </w:r>
    </w:p>
    <w:p w14:paraId="5B7E65D1" w14:textId="77777777" w:rsidR="00E404BE" w:rsidRDefault="00E404BE" w:rsidP="00E404BE">
      <w:pPr>
        <w:pStyle w:val="subhead"/>
        <w:spacing w:before="0" w:after="0"/>
        <w:rPr>
          <w:b w:val="0"/>
          <w:noProof w:val="0"/>
          <w:sz w:val="24"/>
          <w:szCs w:val="24"/>
        </w:rPr>
      </w:pPr>
    </w:p>
    <w:p w14:paraId="780ABEEE" w14:textId="77777777" w:rsidR="00A72E1D" w:rsidRDefault="00A72E1D" w:rsidP="00E404BE">
      <w:pPr>
        <w:pStyle w:val="subhead"/>
        <w:spacing w:before="0" w:after="0"/>
        <w:rPr>
          <w:b w:val="0"/>
          <w:noProof w:val="0"/>
          <w:sz w:val="24"/>
          <w:szCs w:val="24"/>
        </w:rPr>
      </w:pPr>
    </w:p>
    <w:p w14:paraId="2671B3BF" w14:textId="77777777" w:rsidR="00A72E1D" w:rsidRPr="001533EE" w:rsidRDefault="00A72E1D" w:rsidP="00E404BE">
      <w:pPr>
        <w:pStyle w:val="subhead"/>
        <w:spacing w:before="0" w:after="0"/>
        <w:rPr>
          <w:b w:val="0"/>
          <w:noProof w:val="0"/>
          <w:sz w:val="24"/>
          <w:szCs w:val="24"/>
        </w:rPr>
      </w:pPr>
    </w:p>
    <w:p w14:paraId="1B14E1A3" w14:textId="16806240" w:rsidR="00E404BE" w:rsidRPr="001533EE" w:rsidRDefault="00E404BE" w:rsidP="006A2F03">
      <w:pPr>
        <w:pStyle w:val="subhead"/>
        <w:numPr>
          <w:ilvl w:val="1"/>
          <w:numId w:val="21"/>
        </w:numPr>
        <w:spacing w:before="0" w:after="0"/>
        <w:ind w:left="1134" w:hanging="425"/>
        <w:rPr>
          <w:b w:val="0"/>
          <w:noProof w:val="0"/>
          <w:sz w:val="24"/>
          <w:szCs w:val="24"/>
        </w:rPr>
      </w:pPr>
      <w:r w:rsidRPr="001533EE">
        <w:rPr>
          <w:b w:val="0"/>
          <w:noProof w:val="0"/>
          <w:sz w:val="24"/>
          <w:szCs w:val="24"/>
        </w:rPr>
        <w:t>For capital expenditure on investment / development properties, under the current Government proposed amendments, where loan repayments are received in year those capital receipts will be used to reduce the CFR in that year.  However, where no capital receipt is received, or where no future capital receipts are anticipated, a prudent level of MRP will be charged based on the asset life method using equal instalments of principal.</w:t>
      </w:r>
    </w:p>
    <w:p w14:paraId="5645F728" w14:textId="77777777" w:rsidR="00854E01" w:rsidRPr="001533EE" w:rsidRDefault="00854E01" w:rsidP="00854E01">
      <w:pPr>
        <w:pStyle w:val="subhead"/>
        <w:spacing w:before="0" w:after="0"/>
        <w:ind w:left="1134"/>
        <w:rPr>
          <w:b w:val="0"/>
          <w:bCs/>
          <w:noProof w:val="0"/>
          <w:sz w:val="24"/>
          <w:szCs w:val="24"/>
        </w:rPr>
      </w:pPr>
    </w:p>
    <w:p w14:paraId="422BBF89" w14:textId="3A9E3B8F" w:rsidR="00E404BE" w:rsidRPr="005406BE" w:rsidRDefault="00E404BE" w:rsidP="006A2F03">
      <w:pPr>
        <w:pStyle w:val="subhead"/>
        <w:numPr>
          <w:ilvl w:val="1"/>
          <w:numId w:val="21"/>
        </w:numPr>
        <w:spacing w:before="0" w:after="0"/>
        <w:ind w:left="1134" w:hanging="425"/>
        <w:rPr>
          <w:b w:val="0"/>
          <w:bCs/>
          <w:noProof w:val="0"/>
          <w:sz w:val="24"/>
          <w:szCs w:val="24"/>
        </w:rPr>
      </w:pPr>
      <w:r w:rsidRPr="001533EE">
        <w:rPr>
          <w:b w:val="0"/>
          <w:bCs/>
          <w:sz w:val="24"/>
          <w:szCs w:val="24"/>
        </w:rPr>
        <w:t xml:space="preserve">For on balance sheet PFI schemes, </w:t>
      </w:r>
      <w:r w:rsidRPr="005406BE">
        <w:rPr>
          <w:b w:val="0"/>
          <w:bCs/>
          <w:sz w:val="24"/>
          <w:szCs w:val="24"/>
        </w:rPr>
        <w:t xml:space="preserve">MRP will be equivalent to the capital </w:t>
      </w:r>
      <w:r w:rsidR="00854E01" w:rsidRPr="005406BE">
        <w:rPr>
          <w:b w:val="0"/>
          <w:bCs/>
          <w:sz w:val="24"/>
          <w:szCs w:val="24"/>
        </w:rPr>
        <w:t xml:space="preserve">repayment (principal) </w:t>
      </w:r>
      <w:r w:rsidRPr="005406BE">
        <w:rPr>
          <w:b w:val="0"/>
          <w:bCs/>
          <w:sz w:val="24"/>
          <w:szCs w:val="24"/>
        </w:rPr>
        <w:t xml:space="preserve">element of the annual service charge payable to the PFI Operator and for </w:t>
      </w:r>
      <w:r w:rsidR="00854E01" w:rsidRPr="005406BE">
        <w:rPr>
          <w:b w:val="0"/>
          <w:bCs/>
          <w:sz w:val="24"/>
          <w:szCs w:val="24"/>
        </w:rPr>
        <w:t>F</w:t>
      </w:r>
      <w:r w:rsidRPr="005406BE">
        <w:rPr>
          <w:b w:val="0"/>
          <w:bCs/>
          <w:sz w:val="24"/>
          <w:szCs w:val="24"/>
        </w:rPr>
        <w:t xml:space="preserve">inance </w:t>
      </w:r>
      <w:r w:rsidR="00854E01" w:rsidRPr="005406BE">
        <w:rPr>
          <w:b w:val="0"/>
          <w:bCs/>
          <w:sz w:val="24"/>
          <w:szCs w:val="24"/>
        </w:rPr>
        <w:t>L</w:t>
      </w:r>
      <w:r w:rsidRPr="005406BE">
        <w:rPr>
          <w:b w:val="0"/>
          <w:bCs/>
          <w:sz w:val="24"/>
          <w:szCs w:val="24"/>
        </w:rPr>
        <w:t>eases, MRP will also be equivalent to the capital repayment (principal) element of the annual rental payable under the lease agreement.</w:t>
      </w:r>
    </w:p>
    <w:p w14:paraId="74FB4360" w14:textId="77777777" w:rsidR="00E404BE" w:rsidRPr="001533EE" w:rsidRDefault="00E404BE" w:rsidP="00E404BE">
      <w:pPr>
        <w:rPr>
          <w:rFonts w:cs="Arial"/>
          <w:sz w:val="24"/>
          <w:szCs w:val="24"/>
        </w:rPr>
      </w:pPr>
    </w:p>
    <w:p w14:paraId="6654A16D" w14:textId="490265CA" w:rsidR="00E404BE" w:rsidRPr="001533EE" w:rsidRDefault="00E404BE" w:rsidP="00854E01">
      <w:pPr>
        <w:ind w:left="709"/>
        <w:jc w:val="both"/>
        <w:rPr>
          <w:rFonts w:cs="Arial"/>
          <w:sz w:val="24"/>
          <w:szCs w:val="24"/>
        </w:rPr>
      </w:pPr>
      <w:r w:rsidRPr="001533EE">
        <w:rPr>
          <w:rFonts w:cs="Arial"/>
          <w:b/>
          <w:bCs/>
          <w:sz w:val="24"/>
          <w:szCs w:val="24"/>
        </w:rPr>
        <w:t>MRP Overpayments</w:t>
      </w:r>
      <w:r w:rsidRPr="001533EE">
        <w:rPr>
          <w:rFonts w:cs="Arial"/>
          <w:sz w:val="24"/>
          <w:szCs w:val="24"/>
        </w:rPr>
        <w:t xml:space="preserve"> - Under the MRP Guidance any charges made </w:t>
      </w:r>
      <w:proofErr w:type="gramStart"/>
      <w:r w:rsidRPr="001533EE">
        <w:rPr>
          <w:rFonts w:cs="Arial"/>
          <w:sz w:val="24"/>
          <w:szCs w:val="24"/>
        </w:rPr>
        <w:t>in excess of</w:t>
      </w:r>
      <w:proofErr w:type="gramEnd"/>
      <w:r w:rsidRPr="001533EE">
        <w:rPr>
          <w:rFonts w:cs="Arial"/>
          <w:sz w:val="24"/>
          <w:szCs w:val="24"/>
        </w:rPr>
        <w:t xml:space="preserve"> the </w:t>
      </w:r>
      <w:r w:rsidRPr="00B65A83">
        <w:rPr>
          <w:rFonts w:cs="Arial"/>
          <w:sz w:val="24"/>
          <w:szCs w:val="24"/>
        </w:rPr>
        <w:t xml:space="preserve">statutory MRP are known as </w:t>
      </w:r>
      <w:r w:rsidR="0009551E" w:rsidRPr="00B65A83">
        <w:rPr>
          <w:rFonts w:cs="Arial"/>
          <w:sz w:val="24"/>
          <w:szCs w:val="24"/>
        </w:rPr>
        <w:t>Voluntary Revenue Provision (</w:t>
      </w:r>
      <w:r w:rsidRPr="00B65A83">
        <w:rPr>
          <w:rFonts w:cs="Arial"/>
          <w:sz w:val="24"/>
          <w:szCs w:val="24"/>
        </w:rPr>
        <w:t>VRP</w:t>
      </w:r>
      <w:r w:rsidR="0009551E" w:rsidRPr="00B65A83">
        <w:rPr>
          <w:rFonts w:cs="Arial"/>
          <w:sz w:val="24"/>
          <w:szCs w:val="24"/>
        </w:rPr>
        <w:t>)</w:t>
      </w:r>
      <w:r w:rsidRPr="00B65A83">
        <w:rPr>
          <w:rFonts w:cs="Arial"/>
          <w:sz w:val="24"/>
          <w:szCs w:val="24"/>
        </w:rPr>
        <w:t>. VRP can be reclaimed in later years if deemed necessary or prudent.  For these sums to be reclaimed in</w:t>
      </w:r>
      <w:r w:rsidR="00B65A83" w:rsidRPr="00B65A83">
        <w:rPr>
          <w:rFonts w:cs="Arial"/>
          <w:sz w:val="24"/>
          <w:szCs w:val="24"/>
        </w:rPr>
        <w:t xml:space="preserve"> the</w:t>
      </w:r>
      <w:r w:rsidRPr="00B65A83">
        <w:rPr>
          <w:rFonts w:cs="Arial"/>
          <w:sz w:val="24"/>
          <w:szCs w:val="24"/>
        </w:rPr>
        <w:t xml:space="preserve"> future, this policy must disclose the cumulative overpayment made each year.</w:t>
      </w:r>
      <w:r w:rsidR="00854E01" w:rsidRPr="00B65A83">
        <w:rPr>
          <w:rFonts w:cs="Arial"/>
          <w:sz w:val="24"/>
          <w:szCs w:val="24"/>
        </w:rPr>
        <w:t xml:space="preserve"> Up</w:t>
      </w:r>
      <w:r w:rsidR="005312F9" w:rsidRPr="00B65A83">
        <w:rPr>
          <w:rFonts w:cs="Arial"/>
          <w:sz w:val="24"/>
          <w:szCs w:val="24"/>
        </w:rPr>
        <w:t xml:space="preserve"> to 31</w:t>
      </w:r>
      <w:r w:rsidR="005312F9" w:rsidRPr="00B65A83">
        <w:rPr>
          <w:rFonts w:cs="Arial"/>
          <w:sz w:val="24"/>
          <w:szCs w:val="24"/>
          <w:vertAlign w:val="superscript"/>
        </w:rPr>
        <w:t>st</w:t>
      </w:r>
      <w:r w:rsidR="005312F9" w:rsidRPr="00B65A83">
        <w:rPr>
          <w:rFonts w:cs="Arial"/>
          <w:sz w:val="24"/>
          <w:szCs w:val="24"/>
        </w:rPr>
        <w:t xml:space="preserve"> March 202</w:t>
      </w:r>
      <w:r w:rsidR="005406BE">
        <w:rPr>
          <w:rFonts w:cs="Arial"/>
          <w:sz w:val="24"/>
          <w:szCs w:val="24"/>
        </w:rPr>
        <w:t>6</w:t>
      </w:r>
      <w:r w:rsidR="005312F9" w:rsidRPr="00B65A83">
        <w:rPr>
          <w:rFonts w:cs="Arial"/>
          <w:sz w:val="24"/>
          <w:szCs w:val="24"/>
        </w:rPr>
        <w:t>,</w:t>
      </w:r>
      <w:r w:rsidR="00854E01" w:rsidRPr="00B65A83">
        <w:rPr>
          <w:rFonts w:cs="Arial"/>
          <w:sz w:val="24"/>
          <w:szCs w:val="24"/>
        </w:rPr>
        <w:t xml:space="preserve"> the total VRP overpayment</w:t>
      </w:r>
      <w:r w:rsidR="005312F9" w:rsidRPr="00B65A83">
        <w:rPr>
          <w:rFonts w:cs="Arial"/>
          <w:sz w:val="24"/>
          <w:szCs w:val="24"/>
        </w:rPr>
        <w:t>s made</w:t>
      </w:r>
      <w:r w:rsidR="00854E01" w:rsidRPr="00B65A83">
        <w:rPr>
          <w:rFonts w:cs="Arial"/>
          <w:sz w:val="24"/>
          <w:szCs w:val="24"/>
        </w:rPr>
        <w:t xml:space="preserve"> </w:t>
      </w:r>
      <w:r w:rsidR="00F2115D" w:rsidRPr="00B65A83">
        <w:rPr>
          <w:rFonts w:cs="Arial"/>
          <w:sz w:val="24"/>
          <w:szCs w:val="24"/>
        </w:rPr>
        <w:t xml:space="preserve">will </w:t>
      </w:r>
      <w:r w:rsidR="002A4C92" w:rsidRPr="00B65A83">
        <w:rPr>
          <w:rFonts w:cs="Arial"/>
          <w:sz w:val="24"/>
          <w:szCs w:val="24"/>
        </w:rPr>
        <w:t xml:space="preserve">total </w:t>
      </w:r>
      <w:r w:rsidR="00854E01" w:rsidRPr="00B65A83">
        <w:rPr>
          <w:rFonts w:cs="Arial"/>
          <w:sz w:val="24"/>
          <w:szCs w:val="24"/>
        </w:rPr>
        <w:t>£19k.</w:t>
      </w:r>
    </w:p>
    <w:p w14:paraId="066A556B" w14:textId="77777777" w:rsidR="00EC6B33" w:rsidRPr="001533EE" w:rsidRDefault="00EC6B33" w:rsidP="00EC6B33">
      <w:pPr>
        <w:ind w:left="1276" w:hanging="567"/>
        <w:jc w:val="both"/>
        <w:rPr>
          <w:rFonts w:cs="Arial"/>
          <w:sz w:val="24"/>
          <w:szCs w:val="24"/>
        </w:rPr>
      </w:pPr>
    </w:p>
    <w:p w14:paraId="385B9A20" w14:textId="27962593" w:rsidR="00EC6B33" w:rsidRPr="001533EE" w:rsidRDefault="00EC6B33" w:rsidP="00EC6B33">
      <w:pPr>
        <w:tabs>
          <w:tab w:val="left" w:pos="709"/>
        </w:tabs>
        <w:ind w:left="709" w:hanging="709"/>
        <w:jc w:val="both"/>
        <w:rPr>
          <w:rFonts w:cs="Arial"/>
          <w:sz w:val="24"/>
          <w:szCs w:val="24"/>
        </w:rPr>
      </w:pPr>
      <w:r w:rsidRPr="001533EE">
        <w:rPr>
          <w:rFonts w:cs="Arial"/>
          <w:sz w:val="24"/>
          <w:szCs w:val="24"/>
        </w:rPr>
        <w:t>2.5</w:t>
      </w:r>
      <w:r w:rsidRPr="001533EE">
        <w:rPr>
          <w:rFonts w:cs="Arial"/>
          <w:sz w:val="24"/>
          <w:szCs w:val="24"/>
        </w:rPr>
        <w:tab/>
        <w:t>Therefore the Authority’s total MRP provision from 1 April 202</w:t>
      </w:r>
      <w:r w:rsidR="005406BE">
        <w:rPr>
          <w:rFonts w:cs="Arial"/>
          <w:sz w:val="24"/>
          <w:szCs w:val="24"/>
        </w:rPr>
        <w:t>6</w:t>
      </w:r>
      <w:r w:rsidRPr="001533EE">
        <w:rPr>
          <w:rFonts w:cs="Arial"/>
          <w:sz w:val="24"/>
          <w:szCs w:val="24"/>
        </w:rPr>
        <w:t xml:space="preserve"> will be the sum of (a) + (b) + (c) + (d) (as defined above) which is considered to satisfy the prudent provision requirement.  Based on this policy, total MRP in </w:t>
      </w:r>
      <w:r w:rsidRPr="007D6895">
        <w:rPr>
          <w:rFonts w:cs="Arial"/>
          <w:sz w:val="24"/>
          <w:szCs w:val="24"/>
        </w:rPr>
        <w:t>202</w:t>
      </w:r>
      <w:r w:rsidR="005406BE" w:rsidRPr="007D6895">
        <w:rPr>
          <w:rFonts w:cs="Arial"/>
          <w:sz w:val="24"/>
          <w:szCs w:val="24"/>
        </w:rPr>
        <w:t>6</w:t>
      </w:r>
      <w:r w:rsidRPr="007D6895">
        <w:rPr>
          <w:rFonts w:cs="Arial"/>
          <w:sz w:val="24"/>
          <w:szCs w:val="24"/>
        </w:rPr>
        <w:t>/2</w:t>
      </w:r>
      <w:r w:rsidR="005406BE" w:rsidRPr="007D6895">
        <w:rPr>
          <w:rFonts w:cs="Arial"/>
          <w:sz w:val="24"/>
          <w:szCs w:val="24"/>
        </w:rPr>
        <w:t>7</w:t>
      </w:r>
      <w:r w:rsidRPr="007D6895">
        <w:rPr>
          <w:rFonts w:cs="Arial"/>
          <w:sz w:val="24"/>
          <w:szCs w:val="24"/>
        </w:rPr>
        <w:t xml:space="preserve"> is estimated to be £</w:t>
      </w:r>
      <w:r w:rsidR="00786C9C" w:rsidRPr="007D6895">
        <w:rPr>
          <w:rFonts w:cs="Arial"/>
          <w:sz w:val="24"/>
          <w:szCs w:val="24"/>
        </w:rPr>
        <w:t>2.1</w:t>
      </w:r>
      <w:r w:rsidRPr="007D6895">
        <w:rPr>
          <w:rFonts w:cs="Arial"/>
          <w:sz w:val="24"/>
          <w:szCs w:val="24"/>
        </w:rPr>
        <w:t>m</w:t>
      </w:r>
      <w:r w:rsidRPr="001533EE">
        <w:rPr>
          <w:rFonts w:cs="Arial"/>
          <w:sz w:val="24"/>
          <w:szCs w:val="24"/>
        </w:rPr>
        <w:t xml:space="preserve"> (including £0.</w:t>
      </w:r>
      <w:r w:rsidR="001450CF">
        <w:rPr>
          <w:rFonts w:cs="Arial"/>
          <w:sz w:val="24"/>
          <w:szCs w:val="24"/>
        </w:rPr>
        <w:t>8m</w:t>
      </w:r>
      <w:r w:rsidR="00663E7D" w:rsidRPr="001533EE">
        <w:rPr>
          <w:rFonts w:cs="Arial"/>
          <w:sz w:val="24"/>
          <w:szCs w:val="24"/>
        </w:rPr>
        <w:t xml:space="preserve"> in respect of </w:t>
      </w:r>
      <w:r w:rsidRPr="001533EE">
        <w:rPr>
          <w:rFonts w:cs="Arial"/>
          <w:sz w:val="24"/>
          <w:szCs w:val="24"/>
        </w:rPr>
        <w:t>PFI</w:t>
      </w:r>
      <w:r w:rsidR="00D93ECC">
        <w:rPr>
          <w:rFonts w:cs="Arial"/>
          <w:sz w:val="24"/>
          <w:szCs w:val="24"/>
        </w:rPr>
        <w:t xml:space="preserve"> schemes</w:t>
      </w:r>
      <w:r w:rsidRPr="001533EE">
        <w:rPr>
          <w:rFonts w:cs="Arial"/>
          <w:sz w:val="24"/>
          <w:szCs w:val="24"/>
        </w:rPr>
        <w:t xml:space="preserve">). </w:t>
      </w:r>
    </w:p>
    <w:p w14:paraId="131C027E" w14:textId="41CD9C9C" w:rsidR="003B529F" w:rsidRPr="001533EE" w:rsidRDefault="003B529F" w:rsidP="00712B3F">
      <w:pPr>
        <w:jc w:val="both"/>
        <w:rPr>
          <w:rFonts w:cs="Arial"/>
          <w:color w:val="FF0000"/>
          <w:sz w:val="24"/>
          <w:szCs w:val="24"/>
        </w:rPr>
      </w:pPr>
    </w:p>
    <w:p w14:paraId="07FDD85A" w14:textId="77777777" w:rsidR="00B41075" w:rsidRPr="001533EE" w:rsidRDefault="00B41075" w:rsidP="00712B3F">
      <w:pPr>
        <w:jc w:val="both"/>
        <w:rPr>
          <w:rFonts w:cs="Arial"/>
          <w:color w:val="FF0000"/>
          <w:sz w:val="24"/>
          <w:szCs w:val="24"/>
        </w:rPr>
      </w:pPr>
    </w:p>
    <w:p w14:paraId="3242A747" w14:textId="5D609B32" w:rsidR="00EC6B33" w:rsidRPr="001533EE" w:rsidRDefault="003B529F" w:rsidP="003B529F">
      <w:pPr>
        <w:ind w:left="709" w:hanging="709"/>
        <w:jc w:val="both"/>
        <w:rPr>
          <w:rFonts w:cs="Arial"/>
          <w:b/>
          <w:bCs/>
          <w:sz w:val="24"/>
          <w:szCs w:val="24"/>
        </w:rPr>
      </w:pPr>
      <w:r w:rsidRPr="001533EE">
        <w:rPr>
          <w:rFonts w:cs="Arial"/>
          <w:b/>
          <w:bCs/>
          <w:sz w:val="24"/>
          <w:szCs w:val="24"/>
        </w:rPr>
        <w:t>3.0</w:t>
      </w:r>
      <w:r w:rsidRPr="001533EE">
        <w:rPr>
          <w:rFonts w:cs="Arial"/>
          <w:b/>
          <w:bCs/>
          <w:sz w:val="24"/>
          <w:szCs w:val="24"/>
        </w:rPr>
        <w:tab/>
      </w:r>
      <w:r w:rsidR="00EC6B33" w:rsidRPr="001533EE">
        <w:rPr>
          <w:rFonts w:cs="Arial"/>
          <w:b/>
          <w:bCs/>
          <w:sz w:val="24"/>
          <w:szCs w:val="24"/>
        </w:rPr>
        <w:t xml:space="preserve">SECTION </w:t>
      </w:r>
      <w:r w:rsidR="00854E01" w:rsidRPr="001533EE">
        <w:rPr>
          <w:rFonts w:cs="Arial"/>
          <w:b/>
          <w:bCs/>
          <w:sz w:val="24"/>
          <w:szCs w:val="24"/>
        </w:rPr>
        <w:t>3</w:t>
      </w:r>
      <w:r w:rsidR="00EC6B33" w:rsidRPr="001533EE">
        <w:rPr>
          <w:rFonts w:cs="Arial"/>
          <w:b/>
          <w:bCs/>
          <w:sz w:val="24"/>
          <w:szCs w:val="24"/>
        </w:rPr>
        <w:t xml:space="preserve"> </w:t>
      </w:r>
      <w:r w:rsidR="00D93ECC">
        <w:rPr>
          <w:rFonts w:cs="Arial"/>
          <w:b/>
          <w:bCs/>
          <w:sz w:val="24"/>
          <w:szCs w:val="24"/>
        </w:rPr>
        <w:t>-</w:t>
      </w:r>
      <w:r w:rsidR="00854E01" w:rsidRPr="001533EE">
        <w:rPr>
          <w:rFonts w:cs="Arial"/>
          <w:b/>
          <w:bCs/>
          <w:sz w:val="24"/>
          <w:szCs w:val="24"/>
        </w:rPr>
        <w:t xml:space="preserve"> BORROWING</w:t>
      </w:r>
      <w:r w:rsidR="006B36E3" w:rsidRPr="001533EE">
        <w:rPr>
          <w:rFonts w:cs="Arial"/>
          <w:b/>
          <w:bCs/>
          <w:sz w:val="24"/>
          <w:szCs w:val="24"/>
        </w:rPr>
        <w:t xml:space="preserve"> STRATEGY</w:t>
      </w:r>
    </w:p>
    <w:p w14:paraId="618FCDB5" w14:textId="77777777" w:rsidR="00854E01" w:rsidRPr="001533EE" w:rsidRDefault="00854E01" w:rsidP="00EC6B33">
      <w:pPr>
        <w:ind w:firstLine="709"/>
        <w:jc w:val="both"/>
        <w:rPr>
          <w:rFonts w:cs="Arial"/>
          <w:b/>
          <w:bCs/>
          <w:sz w:val="24"/>
          <w:szCs w:val="24"/>
        </w:rPr>
      </w:pPr>
    </w:p>
    <w:p w14:paraId="0D391500" w14:textId="326152E1" w:rsidR="00B65A83" w:rsidRPr="0059692B" w:rsidRDefault="00854E01" w:rsidP="00854E01">
      <w:pPr>
        <w:ind w:left="709" w:hanging="709"/>
        <w:rPr>
          <w:rFonts w:cs="Arial"/>
          <w:color w:val="FF0000"/>
          <w:sz w:val="24"/>
          <w:szCs w:val="24"/>
        </w:rPr>
      </w:pPr>
      <w:r w:rsidRPr="001533EE">
        <w:rPr>
          <w:rFonts w:cs="Arial"/>
          <w:bCs/>
          <w:sz w:val="24"/>
          <w:szCs w:val="24"/>
        </w:rPr>
        <w:t>3.1</w:t>
      </w:r>
      <w:r w:rsidRPr="001533EE">
        <w:rPr>
          <w:rFonts w:cs="Arial"/>
          <w:b/>
          <w:sz w:val="24"/>
          <w:szCs w:val="24"/>
        </w:rPr>
        <w:tab/>
      </w:r>
      <w:r w:rsidRPr="00B55944">
        <w:rPr>
          <w:rFonts w:cs="Arial"/>
          <w:sz w:val="24"/>
          <w:szCs w:val="24"/>
        </w:rPr>
        <w:t xml:space="preserve">The Authority’s treasury portfolio position </w:t>
      </w:r>
      <w:proofErr w:type="gramStart"/>
      <w:r w:rsidRPr="00B55944">
        <w:rPr>
          <w:rFonts w:cs="Arial"/>
          <w:sz w:val="24"/>
          <w:szCs w:val="24"/>
        </w:rPr>
        <w:t>at</w:t>
      </w:r>
      <w:proofErr w:type="gramEnd"/>
      <w:r w:rsidRPr="00B55944">
        <w:rPr>
          <w:rFonts w:cs="Arial"/>
          <w:sz w:val="24"/>
          <w:szCs w:val="24"/>
        </w:rPr>
        <w:t xml:space="preserve"> </w:t>
      </w:r>
      <w:r w:rsidR="002A4C92" w:rsidRPr="00B55944">
        <w:rPr>
          <w:rFonts w:cs="Arial"/>
          <w:sz w:val="24"/>
          <w:szCs w:val="24"/>
        </w:rPr>
        <w:t>31</w:t>
      </w:r>
      <w:r w:rsidR="002A4C92" w:rsidRPr="00B55944">
        <w:rPr>
          <w:rFonts w:cs="Arial"/>
          <w:sz w:val="24"/>
          <w:szCs w:val="24"/>
          <w:vertAlign w:val="superscript"/>
        </w:rPr>
        <w:t>st</w:t>
      </w:r>
      <w:r w:rsidR="002A4C92" w:rsidRPr="00B55944">
        <w:rPr>
          <w:rFonts w:cs="Arial"/>
          <w:sz w:val="24"/>
          <w:szCs w:val="24"/>
        </w:rPr>
        <w:t xml:space="preserve"> December 202</w:t>
      </w:r>
      <w:r w:rsidR="001450CF" w:rsidRPr="00B55944">
        <w:rPr>
          <w:rFonts w:cs="Arial"/>
          <w:sz w:val="24"/>
          <w:szCs w:val="24"/>
        </w:rPr>
        <w:t>5</w:t>
      </w:r>
      <w:r w:rsidR="002A4C92" w:rsidRPr="00B55944">
        <w:rPr>
          <w:rFonts w:cs="Arial"/>
          <w:sz w:val="24"/>
          <w:szCs w:val="24"/>
        </w:rPr>
        <w:t xml:space="preserve">, and forecast </w:t>
      </w:r>
      <w:proofErr w:type="gramStart"/>
      <w:r w:rsidR="002A4C92" w:rsidRPr="00B55944">
        <w:rPr>
          <w:rFonts w:cs="Arial"/>
          <w:sz w:val="24"/>
          <w:szCs w:val="24"/>
        </w:rPr>
        <w:t>at</w:t>
      </w:r>
      <w:proofErr w:type="gramEnd"/>
      <w:r w:rsidR="002A4C92" w:rsidRPr="00B55944">
        <w:rPr>
          <w:rFonts w:cs="Arial"/>
          <w:sz w:val="24"/>
          <w:szCs w:val="24"/>
        </w:rPr>
        <w:t xml:space="preserve"> </w:t>
      </w:r>
      <w:r w:rsidRPr="00B55944">
        <w:rPr>
          <w:rFonts w:cs="Arial"/>
          <w:sz w:val="24"/>
          <w:szCs w:val="24"/>
        </w:rPr>
        <w:t>31st March 202</w:t>
      </w:r>
      <w:r w:rsidR="001450CF" w:rsidRPr="00B55944">
        <w:rPr>
          <w:rFonts w:cs="Arial"/>
          <w:sz w:val="24"/>
          <w:szCs w:val="24"/>
        </w:rPr>
        <w:t>6</w:t>
      </w:r>
      <w:r w:rsidR="002A4C92" w:rsidRPr="00B55944">
        <w:rPr>
          <w:rFonts w:cs="Arial"/>
          <w:sz w:val="24"/>
          <w:szCs w:val="24"/>
        </w:rPr>
        <w:t xml:space="preserve"> is shown</w:t>
      </w:r>
      <w:r w:rsidR="00B55944">
        <w:rPr>
          <w:rFonts w:cs="Arial"/>
          <w:sz w:val="24"/>
          <w:szCs w:val="24"/>
        </w:rPr>
        <w:t>:</w:t>
      </w:r>
      <w:r w:rsidR="002A4C92" w:rsidRPr="00B55944">
        <w:rPr>
          <w:rFonts w:cs="Arial"/>
          <w:sz w:val="24"/>
          <w:szCs w:val="24"/>
        </w:rPr>
        <w:t xml:space="preserve"> </w:t>
      </w:r>
    </w:p>
    <w:p w14:paraId="66A47922" w14:textId="77777777" w:rsidR="00B65A83" w:rsidRDefault="00B65A83" w:rsidP="00854E01">
      <w:pPr>
        <w:ind w:left="709" w:hanging="709"/>
        <w:rPr>
          <w:rFonts w:cs="Arial"/>
          <w:sz w:val="24"/>
          <w:szCs w:val="24"/>
        </w:rPr>
      </w:pPr>
    </w:p>
    <w:p w14:paraId="6BA5D34A" w14:textId="48BB1820" w:rsidR="00B65A83" w:rsidRDefault="00B65A83" w:rsidP="00854E01">
      <w:pPr>
        <w:ind w:left="709" w:hanging="709"/>
        <w:rPr>
          <w:rFonts w:cs="Arial"/>
          <w:sz w:val="24"/>
          <w:szCs w:val="24"/>
        </w:rPr>
      </w:pPr>
      <w:r>
        <w:rPr>
          <w:rFonts w:cs="Arial"/>
          <w:sz w:val="24"/>
          <w:szCs w:val="24"/>
        </w:rPr>
        <w:tab/>
      </w:r>
      <w:r w:rsidR="00B55944" w:rsidRPr="00B55944">
        <w:rPr>
          <w:noProof/>
        </w:rPr>
        <w:drawing>
          <wp:inline distT="0" distB="0" distL="0" distR="0" wp14:anchorId="7AA8D178" wp14:editId="5CC69125">
            <wp:extent cx="5321300" cy="2762250"/>
            <wp:effectExtent l="0" t="0" r="0" b="0"/>
            <wp:docPr id="23472190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21300" cy="2762250"/>
                    </a:xfrm>
                    <a:prstGeom prst="rect">
                      <a:avLst/>
                    </a:prstGeom>
                    <a:noFill/>
                    <a:ln>
                      <a:noFill/>
                    </a:ln>
                  </pic:spPr>
                </pic:pic>
              </a:graphicData>
            </a:graphic>
          </wp:inline>
        </w:drawing>
      </w:r>
    </w:p>
    <w:p w14:paraId="031F184E" w14:textId="77777777" w:rsidR="00B65A83" w:rsidRDefault="00B65A83" w:rsidP="00854E01">
      <w:pPr>
        <w:ind w:left="709" w:hanging="709"/>
        <w:rPr>
          <w:rFonts w:cs="Arial"/>
          <w:sz w:val="24"/>
          <w:szCs w:val="24"/>
        </w:rPr>
      </w:pPr>
    </w:p>
    <w:p w14:paraId="4CF3B4FA" w14:textId="77777777" w:rsidR="00A72E1D" w:rsidRDefault="00A72E1D" w:rsidP="00854E01">
      <w:pPr>
        <w:ind w:left="709" w:hanging="709"/>
        <w:rPr>
          <w:rFonts w:cs="Arial"/>
          <w:sz w:val="24"/>
          <w:szCs w:val="24"/>
        </w:rPr>
      </w:pPr>
    </w:p>
    <w:p w14:paraId="1852C004" w14:textId="77777777" w:rsidR="00A72E1D" w:rsidRDefault="00A72E1D" w:rsidP="00854E01">
      <w:pPr>
        <w:ind w:left="709" w:hanging="709"/>
        <w:rPr>
          <w:rFonts w:cs="Arial"/>
          <w:sz w:val="24"/>
          <w:szCs w:val="24"/>
        </w:rPr>
      </w:pPr>
    </w:p>
    <w:p w14:paraId="5BB7B918" w14:textId="77777777" w:rsidR="00A72E1D" w:rsidRDefault="00A72E1D" w:rsidP="00854E01">
      <w:pPr>
        <w:ind w:left="709" w:hanging="709"/>
        <w:rPr>
          <w:rFonts w:cs="Arial"/>
          <w:sz w:val="24"/>
          <w:szCs w:val="24"/>
        </w:rPr>
      </w:pPr>
    </w:p>
    <w:p w14:paraId="100D9CEA" w14:textId="77777777" w:rsidR="00A72E1D" w:rsidRDefault="00A72E1D" w:rsidP="00854E01">
      <w:pPr>
        <w:ind w:left="709" w:hanging="709"/>
        <w:rPr>
          <w:rFonts w:cs="Arial"/>
          <w:sz w:val="24"/>
          <w:szCs w:val="24"/>
        </w:rPr>
      </w:pPr>
    </w:p>
    <w:p w14:paraId="730154C6" w14:textId="7D97DA93" w:rsidR="00854E01" w:rsidRPr="001533EE" w:rsidRDefault="00854E01" w:rsidP="00854E01">
      <w:pPr>
        <w:ind w:left="709" w:hanging="709"/>
        <w:rPr>
          <w:rFonts w:cs="Arial"/>
          <w:sz w:val="24"/>
          <w:szCs w:val="24"/>
        </w:rPr>
      </w:pPr>
    </w:p>
    <w:p w14:paraId="56393937" w14:textId="2D28BDDB" w:rsidR="00CB7D69" w:rsidRPr="001533EE" w:rsidRDefault="00CB7D69" w:rsidP="00854E01">
      <w:pPr>
        <w:jc w:val="both"/>
        <w:rPr>
          <w:rFonts w:cs="Arial"/>
          <w:b/>
          <w:sz w:val="24"/>
          <w:szCs w:val="24"/>
        </w:rPr>
      </w:pPr>
    </w:p>
    <w:p w14:paraId="0457703A" w14:textId="5753F543" w:rsidR="00E24887" w:rsidRPr="00E24887" w:rsidRDefault="00CB7D69" w:rsidP="00E24887">
      <w:pPr>
        <w:ind w:left="567" w:hanging="567"/>
        <w:jc w:val="both"/>
        <w:rPr>
          <w:b/>
          <w:bCs/>
          <w:color w:val="FF0000"/>
          <w:sz w:val="24"/>
          <w:szCs w:val="24"/>
        </w:rPr>
      </w:pPr>
      <w:r w:rsidRPr="001533EE">
        <w:rPr>
          <w:bCs/>
          <w:sz w:val="24"/>
          <w:szCs w:val="24"/>
        </w:rPr>
        <w:t>3.2</w:t>
      </w:r>
      <w:r w:rsidRPr="001533EE">
        <w:rPr>
          <w:sz w:val="24"/>
          <w:szCs w:val="24"/>
        </w:rPr>
        <w:tab/>
      </w:r>
      <w:r w:rsidRPr="00E24887">
        <w:rPr>
          <w:b/>
          <w:bCs/>
          <w:sz w:val="24"/>
          <w:szCs w:val="24"/>
        </w:rPr>
        <w:t>Prospects for interest rates</w:t>
      </w:r>
      <w:r w:rsidR="00B54CF0" w:rsidRPr="00E24887">
        <w:rPr>
          <w:b/>
          <w:bCs/>
          <w:sz w:val="24"/>
          <w:szCs w:val="24"/>
        </w:rPr>
        <w:t xml:space="preserve"> </w:t>
      </w:r>
    </w:p>
    <w:p w14:paraId="1922ED6B" w14:textId="79CB3905" w:rsidR="00E24887" w:rsidRPr="00E24887" w:rsidRDefault="00E24887" w:rsidP="00E24887">
      <w:pPr>
        <w:ind w:left="567"/>
        <w:jc w:val="both"/>
        <w:rPr>
          <w:rFonts w:eastAsia="Calibri" w:cs="Arial"/>
          <w:spacing w:val="-5"/>
          <w:sz w:val="24"/>
          <w:szCs w:val="24"/>
          <w:lang w:eastAsia="en-US"/>
        </w:rPr>
      </w:pPr>
      <w:r w:rsidRPr="00E24887">
        <w:rPr>
          <w:rFonts w:eastAsia="Calibri" w:cs="Arial"/>
          <w:spacing w:val="-5"/>
          <w:sz w:val="24"/>
          <w:szCs w:val="24"/>
          <w:lang w:eastAsia="en-US"/>
        </w:rPr>
        <w:t>MUFG Corporate Markets are the Councils treasury advisor and part of their service is to assist the Council to formulate a view on interest rates. The following table shows their view on future interest rates. MUFG provided the following forecasts on 22 December 2025.  These are forecasts for PWLB certainty rates.</w:t>
      </w:r>
    </w:p>
    <w:p w14:paraId="6BFADF76" w14:textId="77777777" w:rsidR="00E24887" w:rsidRPr="00E24887" w:rsidRDefault="00E24887" w:rsidP="00E24887">
      <w:pPr>
        <w:ind w:left="567" w:hanging="567"/>
        <w:jc w:val="both"/>
        <w:rPr>
          <w:rFonts w:eastAsia="Calibri" w:cs="Arial"/>
          <w:spacing w:val="-5"/>
          <w:sz w:val="24"/>
          <w:szCs w:val="24"/>
          <w:lang w:eastAsia="en-US"/>
        </w:rPr>
      </w:pPr>
      <w:r w:rsidRPr="00E24887">
        <w:rPr>
          <w:rFonts w:eastAsia="Calibri" w:cs="Arial"/>
          <w:spacing w:val="-5"/>
          <w:sz w:val="24"/>
          <w:szCs w:val="24"/>
          <w:lang w:eastAsia="en-US"/>
        </w:rPr>
        <w:tab/>
      </w:r>
    </w:p>
    <w:p w14:paraId="125B978C" w14:textId="77777777" w:rsidR="00E24887" w:rsidRPr="00E24887" w:rsidRDefault="00E24887" w:rsidP="00E24887">
      <w:pPr>
        <w:ind w:left="567" w:hanging="567"/>
        <w:jc w:val="both"/>
        <w:rPr>
          <w:rFonts w:eastAsia="Calibri" w:cs="Arial"/>
          <w:spacing w:val="-5"/>
          <w:sz w:val="24"/>
          <w:szCs w:val="24"/>
          <w:lang w:eastAsia="en-US"/>
        </w:rPr>
      </w:pPr>
      <w:r w:rsidRPr="00E24887">
        <w:rPr>
          <w:rFonts w:eastAsia="Calibri" w:cs="Arial"/>
          <w:spacing w:val="-5"/>
          <w:sz w:val="24"/>
          <w:szCs w:val="24"/>
          <w:lang w:eastAsia="en-US"/>
        </w:rPr>
        <w:tab/>
      </w:r>
      <w:r w:rsidRPr="00E24887">
        <w:rPr>
          <w:noProof/>
          <w:spacing w:val="-5"/>
          <w:lang w:eastAsia="en-US"/>
        </w:rPr>
        <w:drawing>
          <wp:inline distT="0" distB="0" distL="0" distR="0" wp14:anchorId="73262CA5" wp14:editId="7AA48037">
            <wp:extent cx="5746750" cy="1390650"/>
            <wp:effectExtent l="0" t="0" r="635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46750" cy="1390650"/>
                    </a:xfrm>
                    <a:prstGeom prst="rect">
                      <a:avLst/>
                    </a:prstGeom>
                    <a:noFill/>
                    <a:ln>
                      <a:noFill/>
                    </a:ln>
                  </pic:spPr>
                </pic:pic>
              </a:graphicData>
            </a:graphic>
          </wp:inline>
        </w:drawing>
      </w:r>
    </w:p>
    <w:p w14:paraId="5ED19C11" w14:textId="77777777" w:rsidR="00E24887" w:rsidRPr="00E24887" w:rsidRDefault="00E24887" w:rsidP="00E24887">
      <w:pPr>
        <w:ind w:left="567" w:hanging="567"/>
        <w:jc w:val="both"/>
        <w:rPr>
          <w:rFonts w:eastAsia="Calibri" w:cs="Arial"/>
          <w:spacing w:val="-5"/>
          <w:sz w:val="24"/>
          <w:szCs w:val="24"/>
          <w:lang w:eastAsia="en-US"/>
        </w:rPr>
      </w:pPr>
      <w:r w:rsidRPr="00E24887">
        <w:rPr>
          <w:rFonts w:eastAsia="Calibri" w:cs="Arial"/>
          <w:spacing w:val="-5"/>
          <w:sz w:val="24"/>
          <w:szCs w:val="24"/>
          <w:lang w:eastAsia="en-US"/>
        </w:rPr>
        <w:tab/>
      </w:r>
    </w:p>
    <w:p w14:paraId="50AB4810" w14:textId="77777777" w:rsidR="00E24887" w:rsidRPr="00E24887" w:rsidRDefault="00E24887" w:rsidP="00E24887">
      <w:pPr>
        <w:ind w:left="567" w:hanging="567"/>
        <w:jc w:val="both"/>
        <w:rPr>
          <w:spacing w:val="-5"/>
          <w:highlight w:val="yellow"/>
          <w:lang w:eastAsia="en-US"/>
        </w:rPr>
      </w:pPr>
      <w:r w:rsidRPr="00E24887">
        <w:rPr>
          <w:rFonts w:eastAsia="Calibri" w:cs="Arial"/>
          <w:b/>
          <w:bCs/>
          <w:sz w:val="22"/>
          <w:szCs w:val="22"/>
          <w:lang w:eastAsia="en-US"/>
        </w:rPr>
        <w:tab/>
      </w:r>
      <w:r w:rsidRPr="00E24887">
        <w:rPr>
          <w:rFonts w:eastAsia="Calibri" w:cs="Arial"/>
          <w:spacing w:val="-5"/>
          <w:sz w:val="24"/>
          <w:szCs w:val="24"/>
          <w:lang w:eastAsia="en-US"/>
        </w:rPr>
        <w:t>The MUFG last interest rate forecast update was undertaken on 11 August.  Since then, a combination of tepid growth (0.2% q/q GDP for Q2 and 0.1% q/q GDP for Q3), falling inflation (currently CPI is 3.2%), and a November Budget that will place more pressure on the majority of households’ income, has provided an opportunity for the Bank of England’s Monetary Policy Committee to further reduce Bank Rate from 4% to 3.75% on 18 December.</w:t>
      </w:r>
    </w:p>
    <w:p w14:paraId="55F86CF8" w14:textId="77777777" w:rsidR="00E24887" w:rsidRPr="00E24887" w:rsidRDefault="00E24887" w:rsidP="00E24887">
      <w:pPr>
        <w:jc w:val="both"/>
        <w:rPr>
          <w:rFonts w:eastAsia="Calibri" w:cs="Arial"/>
          <w:spacing w:val="-5"/>
          <w:sz w:val="24"/>
          <w:szCs w:val="24"/>
          <w:highlight w:val="yellow"/>
          <w:lang w:eastAsia="en-US"/>
        </w:rPr>
      </w:pPr>
    </w:p>
    <w:p w14:paraId="36795A29" w14:textId="77777777" w:rsidR="00E24887" w:rsidRPr="00E24887" w:rsidRDefault="00E24887" w:rsidP="00E24887">
      <w:pPr>
        <w:ind w:left="567"/>
        <w:jc w:val="both"/>
        <w:rPr>
          <w:rFonts w:eastAsia="Calibri" w:cs="Arial"/>
          <w:spacing w:val="-5"/>
          <w:sz w:val="24"/>
          <w:szCs w:val="24"/>
          <w:lang w:eastAsia="en-US"/>
        </w:rPr>
      </w:pPr>
      <w:r w:rsidRPr="00E24887">
        <w:rPr>
          <w:rFonts w:eastAsia="Calibri" w:cs="Arial"/>
          <w:spacing w:val="-5"/>
          <w:sz w:val="24"/>
          <w:szCs w:val="24"/>
          <w:lang w:eastAsia="en-US"/>
        </w:rPr>
        <w:t>The recent steep fall in CPI inflation in one month from 3.6% to 3.2% did not persuade most dissenters from the November vote to switch to the rate-cutting side of the Committee.  Instead, it was left to Bank Governor to use his deciding vote to force a rate cut through by 5-4.</w:t>
      </w:r>
    </w:p>
    <w:p w14:paraId="6884983B" w14:textId="77777777" w:rsidR="00E24887" w:rsidRPr="00E24887" w:rsidRDefault="00E24887" w:rsidP="00E24887">
      <w:pPr>
        <w:ind w:left="567"/>
        <w:jc w:val="both"/>
        <w:rPr>
          <w:rFonts w:eastAsia="Calibri" w:cs="Arial"/>
          <w:spacing w:val="-5"/>
          <w:sz w:val="24"/>
          <w:szCs w:val="24"/>
          <w:lang w:eastAsia="en-US"/>
        </w:rPr>
      </w:pPr>
    </w:p>
    <w:p w14:paraId="41D0F842" w14:textId="77777777" w:rsidR="00E24887" w:rsidRPr="00E24887" w:rsidRDefault="00E24887" w:rsidP="00E24887">
      <w:pPr>
        <w:ind w:left="567"/>
        <w:jc w:val="both"/>
        <w:rPr>
          <w:rFonts w:eastAsia="Calibri" w:cs="Arial"/>
          <w:spacing w:val="-5"/>
          <w:sz w:val="24"/>
          <w:szCs w:val="24"/>
          <w:lang w:eastAsia="en-US"/>
        </w:rPr>
      </w:pPr>
      <w:r w:rsidRPr="00E24887">
        <w:rPr>
          <w:rFonts w:eastAsia="Calibri" w:cs="Arial"/>
          <w:spacing w:val="-5"/>
          <w:sz w:val="24"/>
          <w:szCs w:val="24"/>
          <w:lang w:eastAsia="en-US"/>
        </w:rPr>
        <w:t xml:space="preserve">Given the thin majority for a rate cut it was not unexpected for the message to be that rates would </w:t>
      </w:r>
      <w:proofErr w:type="gramStart"/>
      <w:r w:rsidRPr="00E24887">
        <w:rPr>
          <w:rFonts w:eastAsia="Calibri" w:cs="Arial"/>
          <w:spacing w:val="-5"/>
          <w:sz w:val="24"/>
          <w:szCs w:val="24"/>
          <w:lang w:eastAsia="en-US"/>
        </w:rPr>
        <w:t>continue on</w:t>
      </w:r>
      <w:proofErr w:type="gramEnd"/>
      <w:r w:rsidRPr="00E24887">
        <w:rPr>
          <w:rFonts w:eastAsia="Calibri" w:cs="Arial"/>
          <w:spacing w:val="-5"/>
          <w:sz w:val="24"/>
          <w:szCs w:val="24"/>
          <w:lang w:eastAsia="en-US"/>
        </w:rPr>
        <w:t xml:space="preserve"> a “gradual downward path”, suggesting a further rate cut or cuts in the offing, MPC members want to assess incoming evidence on labour market activity and wage growth.  The MPC reiterated that the case for further rate cuts would be “a closer call”, observing there is “limited space as Bank Rate approaches a neutral level”. </w:t>
      </w:r>
    </w:p>
    <w:p w14:paraId="08D0DA3D" w14:textId="77777777" w:rsidR="00E24887" w:rsidRPr="00E24887" w:rsidRDefault="00E24887" w:rsidP="00E24887">
      <w:pPr>
        <w:ind w:left="567"/>
        <w:jc w:val="both"/>
        <w:rPr>
          <w:rFonts w:eastAsia="Calibri" w:cs="Arial"/>
          <w:spacing w:val="-5"/>
          <w:sz w:val="24"/>
          <w:szCs w:val="24"/>
          <w:lang w:eastAsia="en-US"/>
        </w:rPr>
      </w:pPr>
    </w:p>
    <w:p w14:paraId="4F511CF7" w14:textId="77777777" w:rsidR="00E24887" w:rsidRPr="00E24887" w:rsidRDefault="00E24887" w:rsidP="00E24887">
      <w:pPr>
        <w:ind w:left="567"/>
        <w:jc w:val="both"/>
        <w:rPr>
          <w:rFonts w:eastAsia="Calibri" w:cs="Arial"/>
          <w:spacing w:val="-5"/>
          <w:sz w:val="24"/>
          <w:szCs w:val="24"/>
          <w:lang w:eastAsia="en-US"/>
        </w:rPr>
      </w:pPr>
      <w:r w:rsidRPr="00E24887">
        <w:rPr>
          <w:rFonts w:eastAsia="Calibri" w:cs="Arial"/>
          <w:spacing w:val="-5"/>
          <w:sz w:val="24"/>
          <w:szCs w:val="24"/>
          <w:lang w:eastAsia="en-US"/>
        </w:rPr>
        <w:t>Accordingly, the MUFG Corporate Markets forecast has been revised to price in a rate cut in Q2 2026 to 3.5%, likely to take place in the wake of a significant fall in the CPI inflation reading from 3% in March to 2% in April (as forecast by Capital Economics), followed by a short lull through the summer whilst more data is garnered, and then a further rate cut to 3.25% in Q4.</w:t>
      </w:r>
    </w:p>
    <w:p w14:paraId="11D90FFC" w14:textId="77777777" w:rsidR="00E24887" w:rsidRDefault="00E24887" w:rsidP="00CB7D69">
      <w:pPr>
        <w:pStyle w:val="subhead"/>
        <w:spacing w:before="0" w:after="0"/>
        <w:ind w:left="709" w:hanging="709"/>
        <w:rPr>
          <w:b w:val="0"/>
          <w:bCs/>
          <w:noProof w:val="0"/>
          <w:color w:val="FF0000"/>
          <w:sz w:val="24"/>
          <w:szCs w:val="24"/>
        </w:rPr>
      </w:pPr>
    </w:p>
    <w:p w14:paraId="551574ED" w14:textId="77777777" w:rsidR="00E24887" w:rsidRDefault="00E24887" w:rsidP="00CB7D69">
      <w:pPr>
        <w:pStyle w:val="subhead"/>
        <w:spacing w:before="0" w:after="0"/>
        <w:ind w:left="709" w:hanging="709"/>
        <w:rPr>
          <w:b w:val="0"/>
          <w:bCs/>
          <w:noProof w:val="0"/>
          <w:color w:val="FF0000"/>
          <w:sz w:val="24"/>
          <w:szCs w:val="24"/>
        </w:rPr>
      </w:pPr>
    </w:p>
    <w:p w14:paraId="5B403805" w14:textId="77777777" w:rsidR="00E24887" w:rsidRDefault="00E24887" w:rsidP="00CB7D69">
      <w:pPr>
        <w:pStyle w:val="subhead"/>
        <w:spacing w:before="0" w:after="0"/>
        <w:ind w:left="709" w:hanging="709"/>
        <w:rPr>
          <w:b w:val="0"/>
          <w:bCs/>
          <w:noProof w:val="0"/>
          <w:color w:val="FF0000"/>
          <w:sz w:val="24"/>
          <w:szCs w:val="24"/>
        </w:rPr>
      </w:pPr>
    </w:p>
    <w:p w14:paraId="4D67CAFC" w14:textId="77777777" w:rsidR="00E24887" w:rsidRDefault="00E24887" w:rsidP="00CB7D69">
      <w:pPr>
        <w:pStyle w:val="subhead"/>
        <w:spacing w:before="0" w:after="0"/>
        <w:ind w:left="709" w:hanging="709"/>
        <w:rPr>
          <w:b w:val="0"/>
          <w:bCs/>
          <w:noProof w:val="0"/>
          <w:color w:val="FF0000"/>
          <w:sz w:val="24"/>
          <w:szCs w:val="24"/>
        </w:rPr>
      </w:pPr>
    </w:p>
    <w:p w14:paraId="1B55772F" w14:textId="77777777" w:rsidR="00E24887" w:rsidRDefault="00E24887" w:rsidP="00CB7D69">
      <w:pPr>
        <w:pStyle w:val="subhead"/>
        <w:spacing w:before="0" w:after="0"/>
        <w:ind w:left="709" w:hanging="709"/>
        <w:rPr>
          <w:b w:val="0"/>
          <w:bCs/>
          <w:noProof w:val="0"/>
          <w:color w:val="FF0000"/>
          <w:sz w:val="24"/>
          <w:szCs w:val="24"/>
        </w:rPr>
      </w:pPr>
    </w:p>
    <w:p w14:paraId="39D02CDE" w14:textId="77777777" w:rsidR="00E24887" w:rsidRDefault="00E24887" w:rsidP="00CB7D69">
      <w:pPr>
        <w:pStyle w:val="subhead"/>
        <w:spacing w:before="0" w:after="0"/>
        <w:ind w:left="709" w:hanging="709"/>
        <w:rPr>
          <w:b w:val="0"/>
          <w:bCs/>
          <w:noProof w:val="0"/>
          <w:color w:val="FF0000"/>
          <w:sz w:val="24"/>
          <w:szCs w:val="24"/>
        </w:rPr>
      </w:pPr>
    </w:p>
    <w:p w14:paraId="3999BDBC" w14:textId="77777777" w:rsidR="00E24887" w:rsidRDefault="00E24887" w:rsidP="00CB7D69">
      <w:pPr>
        <w:pStyle w:val="subhead"/>
        <w:spacing w:before="0" w:after="0"/>
        <w:ind w:left="709" w:hanging="709"/>
        <w:rPr>
          <w:b w:val="0"/>
          <w:bCs/>
          <w:noProof w:val="0"/>
          <w:color w:val="FF0000"/>
          <w:sz w:val="24"/>
          <w:szCs w:val="24"/>
        </w:rPr>
      </w:pPr>
    </w:p>
    <w:p w14:paraId="49EE3EFD" w14:textId="77777777" w:rsidR="00E24887" w:rsidRDefault="00E24887" w:rsidP="00CB7D69">
      <w:pPr>
        <w:pStyle w:val="subhead"/>
        <w:spacing w:before="0" w:after="0"/>
        <w:ind w:left="709" w:hanging="709"/>
        <w:rPr>
          <w:b w:val="0"/>
          <w:bCs/>
          <w:noProof w:val="0"/>
          <w:color w:val="FF0000"/>
          <w:sz w:val="24"/>
          <w:szCs w:val="24"/>
        </w:rPr>
      </w:pPr>
    </w:p>
    <w:p w14:paraId="38415256" w14:textId="77777777" w:rsidR="00E24887" w:rsidRDefault="00E24887" w:rsidP="00CB7D69">
      <w:pPr>
        <w:pStyle w:val="subhead"/>
        <w:spacing w:before="0" w:after="0"/>
        <w:ind w:left="709" w:hanging="709"/>
        <w:rPr>
          <w:b w:val="0"/>
          <w:bCs/>
          <w:noProof w:val="0"/>
          <w:color w:val="FF0000"/>
          <w:sz w:val="24"/>
          <w:szCs w:val="24"/>
        </w:rPr>
      </w:pPr>
    </w:p>
    <w:p w14:paraId="776AD242" w14:textId="77777777" w:rsidR="00B55944" w:rsidRDefault="00B55944" w:rsidP="00CB7D69">
      <w:pPr>
        <w:pStyle w:val="subhead"/>
        <w:spacing w:before="0" w:after="0"/>
        <w:ind w:left="709" w:hanging="709"/>
        <w:rPr>
          <w:b w:val="0"/>
          <w:bCs/>
          <w:noProof w:val="0"/>
          <w:color w:val="FF0000"/>
          <w:sz w:val="24"/>
          <w:szCs w:val="24"/>
        </w:rPr>
      </w:pPr>
    </w:p>
    <w:p w14:paraId="560C1C2A" w14:textId="77777777" w:rsidR="00E24887" w:rsidRDefault="00E24887" w:rsidP="00CB7D69">
      <w:pPr>
        <w:pStyle w:val="subhead"/>
        <w:spacing w:before="0" w:after="0"/>
        <w:ind w:left="709" w:hanging="709"/>
        <w:rPr>
          <w:b w:val="0"/>
          <w:bCs/>
          <w:noProof w:val="0"/>
          <w:color w:val="FF0000"/>
          <w:sz w:val="24"/>
          <w:szCs w:val="24"/>
        </w:rPr>
      </w:pPr>
    </w:p>
    <w:p w14:paraId="6EF15553" w14:textId="77777777" w:rsidR="00E24887" w:rsidRDefault="00E24887" w:rsidP="00CB7D69">
      <w:pPr>
        <w:pStyle w:val="subhead"/>
        <w:spacing w:before="0" w:after="0"/>
        <w:ind w:left="709" w:hanging="709"/>
        <w:rPr>
          <w:b w:val="0"/>
          <w:bCs/>
          <w:noProof w:val="0"/>
          <w:color w:val="FF0000"/>
          <w:sz w:val="24"/>
          <w:szCs w:val="24"/>
        </w:rPr>
      </w:pPr>
    </w:p>
    <w:p w14:paraId="29A6A885" w14:textId="77777777" w:rsidR="00E24887" w:rsidRPr="00E24887" w:rsidRDefault="00E24887" w:rsidP="00E24887">
      <w:pPr>
        <w:ind w:left="567"/>
        <w:jc w:val="both"/>
        <w:rPr>
          <w:rFonts w:eastAsia="Calibri" w:cs="Arial"/>
          <w:sz w:val="24"/>
          <w:szCs w:val="24"/>
          <w:lang w:eastAsia="en-US"/>
        </w:rPr>
      </w:pPr>
      <w:r w:rsidRPr="00E24887">
        <w:rPr>
          <w:rFonts w:eastAsia="Calibri" w:cs="Arial"/>
          <w:b/>
          <w:color w:val="000000"/>
          <w:sz w:val="24"/>
          <w:szCs w:val="24"/>
          <w:lang w:eastAsia="en-US"/>
        </w:rPr>
        <w:lastRenderedPageBreak/>
        <w:t>Gilt yields and PWLB rates</w:t>
      </w:r>
    </w:p>
    <w:p w14:paraId="799BC2F7" w14:textId="74E1140D" w:rsidR="00E24887" w:rsidRDefault="00E24887" w:rsidP="00E24887">
      <w:pPr>
        <w:spacing w:before="120" w:after="120"/>
        <w:ind w:left="567"/>
        <w:jc w:val="both"/>
        <w:rPr>
          <w:rFonts w:eastAsia="Arial" w:cs="Arial"/>
          <w:color w:val="000000"/>
          <w:sz w:val="24"/>
          <w:szCs w:val="24"/>
          <w:lang w:val="en-AU" w:eastAsia="en-US"/>
        </w:rPr>
      </w:pPr>
      <w:r w:rsidRPr="00E24887">
        <w:rPr>
          <w:rFonts w:eastAsia="Arial" w:cs="Arial"/>
          <w:color w:val="000000"/>
          <w:sz w:val="24"/>
          <w:szCs w:val="24"/>
          <w:lang w:val="en-AU" w:eastAsia="en-US"/>
        </w:rPr>
        <w:t xml:space="preserve">The overall longer-run trend is for gilt yields and PWLB rates to fall back over the timeline of </w:t>
      </w:r>
      <w:r w:rsidRPr="00E24887">
        <w:rPr>
          <w:rFonts w:eastAsia="Arial" w:cs="Arial"/>
          <w:color w:val="000000"/>
          <w:sz w:val="24"/>
          <w:szCs w:val="24"/>
          <w:lang w:eastAsia="en-US"/>
        </w:rPr>
        <w:t xml:space="preserve">MUFG Corporate Market’s </w:t>
      </w:r>
      <w:r w:rsidRPr="00E24887">
        <w:rPr>
          <w:rFonts w:eastAsia="Arial" w:cs="Arial"/>
          <w:color w:val="000000"/>
          <w:sz w:val="24"/>
          <w:szCs w:val="24"/>
          <w:lang w:val="en-AU" w:eastAsia="en-US"/>
        </w:rPr>
        <w:t xml:space="preserve">forecasts, but the risks to forecasts are to the upsides.  </w:t>
      </w:r>
      <w:r w:rsidRPr="00E24887">
        <w:rPr>
          <w:rFonts w:eastAsia="Arial" w:cs="Arial"/>
          <w:color w:val="000000"/>
          <w:sz w:val="24"/>
          <w:szCs w:val="24"/>
          <w:lang w:eastAsia="en-US"/>
        </w:rPr>
        <w:t xml:space="preserve">MUFG Corporate Market’s </w:t>
      </w:r>
      <w:r w:rsidRPr="00E24887">
        <w:rPr>
          <w:rFonts w:eastAsia="Arial" w:cs="Arial"/>
          <w:color w:val="000000"/>
          <w:sz w:val="24"/>
          <w:szCs w:val="24"/>
          <w:lang w:val="en-AU" w:eastAsia="en-US"/>
        </w:rPr>
        <w:t xml:space="preserve">target borrowing rates are set </w:t>
      </w:r>
      <w:r w:rsidRPr="00E24887">
        <w:rPr>
          <w:rFonts w:eastAsia="Arial" w:cs="Arial"/>
          <w:b/>
          <w:bCs/>
          <w:color w:val="000000"/>
          <w:sz w:val="24"/>
          <w:szCs w:val="24"/>
          <w:lang w:val="en-AU" w:eastAsia="en-US"/>
        </w:rPr>
        <w:t>two years forward</w:t>
      </w:r>
      <w:r w:rsidRPr="00E24887">
        <w:rPr>
          <w:rFonts w:eastAsia="Arial" w:cs="Arial"/>
          <w:color w:val="000000"/>
          <w:sz w:val="24"/>
          <w:szCs w:val="24"/>
          <w:lang w:val="en-AU" w:eastAsia="en-US"/>
        </w:rPr>
        <w:t xml:space="preserve"> (as they expect rates to fall back) and the current PWLB (certainty) borrowing rates are set out below: -</w:t>
      </w:r>
    </w:p>
    <w:p w14:paraId="2F689E75" w14:textId="77777777" w:rsidR="00E24887" w:rsidRPr="00E24887" w:rsidRDefault="00E24887" w:rsidP="00E24887">
      <w:pPr>
        <w:spacing w:before="120" w:after="120"/>
        <w:ind w:left="567"/>
        <w:jc w:val="both"/>
        <w:rPr>
          <w:rFonts w:eastAsia="Arial" w:cs="Arial"/>
          <w:color w:val="000000"/>
          <w:sz w:val="24"/>
          <w:szCs w:val="24"/>
          <w:lang w:val="en-AU" w:eastAsia="en-US"/>
        </w:rPr>
      </w:pPr>
    </w:p>
    <w:tbl>
      <w:tblPr>
        <w:tblStyle w:val="DefaultTable1"/>
        <w:tblW w:w="0" w:type="auto"/>
        <w:tblInd w:w="641" w:type="dxa"/>
        <w:tblLook w:val="04A0" w:firstRow="1" w:lastRow="0" w:firstColumn="1" w:lastColumn="0" w:noHBand="0" w:noVBand="1"/>
      </w:tblPr>
      <w:tblGrid>
        <w:gridCol w:w="1492"/>
        <w:gridCol w:w="2331"/>
        <w:gridCol w:w="2557"/>
        <w:gridCol w:w="2607"/>
      </w:tblGrid>
      <w:tr w:rsidR="00E24887" w:rsidRPr="00E24887" w14:paraId="5AFA3C0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2" w:type="dxa"/>
            <w:tcBorders>
              <w:top w:val="single" w:sz="4" w:space="0" w:color="A6A6A6"/>
              <w:left w:val="single" w:sz="4" w:space="0" w:color="A6A6A6"/>
              <w:bottom w:val="single" w:sz="4" w:space="0" w:color="A6A6A6"/>
              <w:right w:val="single" w:sz="4" w:space="0" w:color="A6A6A6"/>
            </w:tcBorders>
            <w:hideMark/>
          </w:tcPr>
          <w:p w14:paraId="679376F6" w14:textId="77777777" w:rsidR="00E24887" w:rsidRPr="00E24887" w:rsidRDefault="00E24887" w:rsidP="00E24887">
            <w:pPr>
              <w:spacing w:before="120" w:after="120"/>
              <w:jc w:val="both"/>
              <w:rPr>
                <w:rFonts w:cs="Arial"/>
                <w:sz w:val="22"/>
                <w:szCs w:val="22"/>
              </w:rPr>
            </w:pPr>
            <w:r w:rsidRPr="00E24887">
              <w:rPr>
                <w:rFonts w:cs="Arial"/>
                <w:sz w:val="22"/>
                <w:szCs w:val="22"/>
              </w:rPr>
              <w:t>PWLB debt</w:t>
            </w:r>
          </w:p>
        </w:tc>
        <w:tc>
          <w:tcPr>
            <w:tcW w:w="2381" w:type="dxa"/>
            <w:tcBorders>
              <w:top w:val="single" w:sz="4" w:space="0" w:color="A6A6A6"/>
              <w:left w:val="single" w:sz="4" w:space="0" w:color="A6A6A6"/>
              <w:bottom w:val="single" w:sz="4" w:space="0" w:color="A6A6A6"/>
              <w:right w:val="single" w:sz="4" w:space="0" w:color="A6A6A6"/>
            </w:tcBorders>
            <w:hideMark/>
          </w:tcPr>
          <w:p w14:paraId="1F47B7AD" w14:textId="77777777" w:rsidR="00E24887" w:rsidRPr="00E24887" w:rsidRDefault="00E24887" w:rsidP="00E24887">
            <w:pPr>
              <w:spacing w:before="120" w:after="120"/>
              <w:jc w:val="center"/>
              <w:cnfStyle w:val="100000000000" w:firstRow="1" w:lastRow="0" w:firstColumn="0" w:lastColumn="0" w:oddVBand="0" w:evenVBand="0" w:oddHBand="0" w:evenHBand="0" w:firstRowFirstColumn="0" w:firstRowLastColumn="0" w:lastRowFirstColumn="0" w:lastRowLastColumn="0"/>
              <w:rPr>
                <w:rFonts w:cs="Arial"/>
                <w:sz w:val="22"/>
                <w:szCs w:val="22"/>
              </w:rPr>
            </w:pPr>
            <w:r w:rsidRPr="00E24887">
              <w:rPr>
                <w:rFonts w:cs="Arial"/>
                <w:sz w:val="22"/>
                <w:szCs w:val="22"/>
              </w:rPr>
              <w:t>Current borrowing rate as at 22.12.25 p.m.</w:t>
            </w:r>
          </w:p>
        </w:tc>
        <w:tc>
          <w:tcPr>
            <w:tcW w:w="2618" w:type="dxa"/>
            <w:tcBorders>
              <w:top w:val="single" w:sz="4" w:space="0" w:color="A6A6A6"/>
              <w:left w:val="single" w:sz="4" w:space="0" w:color="A6A6A6"/>
              <w:bottom w:val="single" w:sz="4" w:space="0" w:color="A6A6A6"/>
              <w:right w:val="single" w:sz="4" w:space="0" w:color="A6A6A6"/>
            </w:tcBorders>
            <w:hideMark/>
          </w:tcPr>
          <w:p w14:paraId="1D5E2870" w14:textId="77777777" w:rsidR="00E24887" w:rsidRPr="00E24887" w:rsidRDefault="00E24887" w:rsidP="00E24887">
            <w:pPr>
              <w:spacing w:before="120" w:after="120"/>
              <w:jc w:val="center"/>
              <w:cnfStyle w:val="100000000000" w:firstRow="1" w:lastRow="0" w:firstColumn="0" w:lastColumn="0" w:oddVBand="0" w:evenVBand="0" w:oddHBand="0" w:evenHBand="0" w:firstRowFirstColumn="0" w:firstRowLastColumn="0" w:lastRowFirstColumn="0" w:lastRowLastColumn="0"/>
              <w:rPr>
                <w:rFonts w:cs="Arial"/>
                <w:sz w:val="22"/>
                <w:szCs w:val="22"/>
              </w:rPr>
            </w:pPr>
            <w:r w:rsidRPr="00E24887">
              <w:rPr>
                <w:rFonts w:cs="Arial"/>
                <w:sz w:val="22"/>
                <w:szCs w:val="22"/>
              </w:rPr>
              <w:t>Target borrowing rate now</w:t>
            </w:r>
          </w:p>
          <w:p w14:paraId="40421A31" w14:textId="77777777" w:rsidR="00E24887" w:rsidRPr="00E24887" w:rsidRDefault="00E24887" w:rsidP="00E24887">
            <w:pPr>
              <w:spacing w:before="120" w:after="120"/>
              <w:jc w:val="center"/>
              <w:cnfStyle w:val="100000000000" w:firstRow="1" w:lastRow="0" w:firstColumn="0" w:lastColumn="0" w:oddVBand="0" w:evenVBand="0" w:oddHBand="0" w:evenHBand="0" w:firstRowFirstColumn="0" w:firstRowLastColumn="0" w:lastRowFirstColumn="0" w:lastRowLastColumn="0"/>
              <w:rPr>
                <w:rFonts w:cs="Arial"/>
                <w:sz w:val="22"/>
                <w:szCs w:val="22"/>
              </w:rPr>
            </w:pPr>
            <w:r w:rsidRPr="00E24887">
              <w:rPr>
                <w:rFonts w:cs="Arial"/>
                <w:sz w:val="22"/>
                <w:szCs w:val="22"/>
              </w:rPr>
              <w:t>(end of Q4 2027)</w:t>
            </w:r>
          </w:p>
        </w:tc>
        <w:tc>
          <w:tcPr>
            <w:tcW w:w="2670" w:type="dxa"/>
            <w:tcBorders>
              <w:top w:val="single" w:sz="4" w:space="0" w:color="A6A6A6"/>
              <w:left w:val="single" w:sz="4" w:space="0" w:color="A6A6A6"/>
              <w:bottom w:val="single" w:sz="4" w:space="0" w:color="A6A6A6"/>
              <w:right w:val="single" w:sz="4" w:space="0" w:color="A6A6A6"/>
            </w:tcBorders>
            <w:hideMark/>
          </w:tcPr>
          <w:p w14:paraId="42F3AAE8" w14:textId="77777777" w:rsidR="00E24887" w:rsidRPr="00E24887" w:rsidRDefault="00E24887" w:rsidP="00E24887">
            <w:pPr>
              <w:spacing w:before="120" w:after="120"/>
              <w:jc w:val="center"/>
              <w:cnfStyle w:val="100000000000" w:firstRow="1" w:lastRow="0" w:firstColumn="0" w:lastColumn="0" w:oddVBand="0" w:evenVBand="0" w:oddHBand="0" w:evenHBand="0" w:firstRowFirstColumn="0" w:firstRowLastColumn="0" w:lastRowFirstColumn="0" w:lastRowLastColumn="0"/>
              <w:rPr>
                <w:rFonts w:cs="Arial"/>
                <w:sz w:val="22"/>
                <w:szCs w:val="22"/>
              </w:rPr>
            </w:pPr>
            <w:r w:rsidRPr="00E24887">
              <w:rPr>
                <w:rFonts w:cs="Arial"/>
                <w:sz w:val="22"/>
                <w:szCs w:val="22"/>
              </w:rPr>
              <w:t>Target borrowing rate previous</w:t>
            </w:r>
          </w:p>
          <w:p w14:paraId="18F06FB5" w14:textId="77777777" w:rsidR="00E24887" w:rsidRPr="00E24887" w:rsidRDefault="00E24887" w:rsidP="00E24887">
            <w:pPr>
              <w:spacing w:before="120" w:after="120"/>
              <w:jc w:val="center"/>
              <w:cnfStyle w:val="100000000000" w:firstRow="1" w:lastRow="0" w:firstColumn="0" w:lastColumn="0" w:oddVBand="0" w:evenVBand="0" w:oddHBand="0" w:evenHBand="0" w:firstRowFirstColumn="0" w:firstRowLastColumn="0" w:lastRowFirstColumn="0" w:lastRowLastColumn="0"/>
              <w:rPr>
                <w:rFonts w:cs="Arial"/>
                <w:sz w:val="22"/>
                <w:szCs w:val="22"/>
              </w:rPr>
            </w:pPr>
            <w:r w:rsidRPr="00E24887">
              <w:rPr>
                <w:rFonts w:cs="Arial"/>
                <w:sz w:val="22"/>
                <w:szCs w:val="22"/>
              </w:rPr>
              <w:t>(end of Q4 2027)</w:t>
            </w:r>
          </w:p>
        </w:tc>
      </w:tr>
      <w:tr w:rsidR="00E24887" w:rsidRPr="00E24887" w14:paraId="0E5F9B46" w14:textId="77777777">
        <w:tc>
          <w:tcPr>
            <w:cnfStyle w:val="001000000000" w:firstRow="0" w:lastRow="0" w:firstColumn="1" w:lastColumn="0" w:oddVBand="0" w:evenVBand="0" w:oddHBand="0" w:evenHBand="0" w:firstRowFirstColumn="0" w:firstRowLastColumn="0" w:lastRowFirstColumn="0" w:lastRowLastColumn="0"/>
            <w:tcW w:w="1522" w:type="dxa"/>
            <w:tcBorders>
              <w:top w:val="single" w:sz="4" w:space="0" w:color="A6A6A6"/>
              <w:left w:val="single" w:sz="4" w:space="0" w:color="A6A6A6"/>
              <w:bottom w:val="single" w:sz="4" w:space="0" w:color="A6A6A6"/>
              <w:right w:val="single" w:sz="4" w:space="0" w:color="A6A6A6"/>
            </w:tcBorders>
            <w:hideMark/>
          </w:tcPr>
          <w:p w14:paraId="4CDDF179" w14:textId="77777777" w:rsidR="00E24887" w:rsidRPr="00E24887" w:rsidRDefault="00E24887" w:rsidP="00E24887">
            <w:pPr>
              <w:spacing w:before="120" w:after="120"/>
              <w:jc w:val="both"/>
              <w:rPr>
                <w:rFonts w:cs="Arial"/>
                <w:color w:val="0D0D0D"/>
                <w:sz w:val="22"/>
                <w:szCs w:val="22"/>
              </w:rPr>
            </w:pPr>
            <w:r w:rsidRPr="00E24887">
              <w:rPr>
                <w:rFonts w:cs="Arial"/>
                <w:color w:val="0D0D0D"/>
                <w:sz w:val="22"/>
                <w:szCs w:val="22"/>
              </w:rPr>
              <w:t>5 years</w:t>
            </w:r>
          </w:p>
        </w:tc>
        <w:tc>
          <w:tcPr>
            <w:tcW w:w="2381" w:type="dxa"/>
            <w:tcBorders>
              <w:top w:val="single" w:sz="4" w:space="0" w:color="A6A6A6"/>
              <w:left w:val="single" w:sz="4" w:space="0" w:color="A6A6A6"/>
              <w:bottom w:val="single" w:sz="4" w:space="0" w:color="A6A6A6"/>
              <w:right w:val="single" w:sz="4" w:space="0" w:color="A6A6A6"/>
            </w:tcBorders>
            <w:hideMark/>
          </w:tcPr>
          <w:p w14:paraId="79857E61" w14:textId="77777777" w:rsidR="00E24887" w:rsidRPr="00E24887" w:rsidRDefault="00E24887" w:rsidP="00E24887">
            <w:pPr>
              <w:spacing w:before="120" w:after="120"/>
              <w:jc w:val="center"/>
              <w:cnfStyle w:val="000000000000" w:firstRow="0" w:lastRow="0" w:firstColumn="0" w:lastColumn="0" w:oddVBand="0" w:evenVBand="0" w:oddHBand="0" w:evenHBand="0" w:firstRowFirstColumn="0" w:firstRowLastColumn="0" w:lastRowFirstColumn="0" w:lastRowLastColumn="0"/>
              <w:rPr>
                <w:rFonts w:cs="Arial"/>
                <w:color w:val="0D0D0D"/>
                <w:sz w:val="22"/>
                <w:szCs w:val="22"/>
              </w:rPr>
            </w:pPr>
            <w:r w:rsidRPr="00E24887">
              <w:rPr>
                <w:rFonts w:cs="Arial"/>
                <w:color w:val="0D0D0D"/>
                <w:sz w:val="22"/>
                <w:szCs w:val="22"/>
              </w:rPr>
              <w:t>4.81%</w:t>
            </w:r>
          </w:p>
        </w:tc>
        <w:tc>
          <w:tcPr>
            <w:tcW w:w="2618" w:type="dxa"/>
            <w:tcBorders>
              <w:top w:val="single" w:sz="4" w:space="0" w:color="A6A6A6"/>
              <w:left w:val="single" w:sz="4" w:space="0" w:color="A6A6A6"/>
              <w:bottom w:val="single" w:sz="4" w:space="0" w:color="A6A6A6"/>
              <w:right w:val="single" w:sz="4" w:space="0" w:color="A6A6A6"/>
            </w:tcBorders>
            <w:hideMark/>
          </w:tcPr>
          <w:p w14:paraId="114E3DC3" w14:textId="77777777" w:rsidR="00E24887" w:rsidRPr="00E24887" w:rsidRDefault="00E24887" w:rsidP="00E24887">
            <w:pPr>
              <w:spacing w:before="120" w:after="120"/>
              <w:jc w:val="center"/>
              <w:cnfStyle w:val="000000000000" w:firstRow="0" w:lastRow="0" w:firstColumn="0" w:lastColumn="0" w:oddVBand="0" w:evenVBand="0" w:oddHBand="0" w:evenHBand="0" w:firstRowFirstColumn="0" w:firstRowLastColumn="0" w:lastRowFirstColumn="0" w:lastRowLastColumn="0"/>
              <w:rPr>
                <w:rFonts w:cs="Arial"/>
                <w:color w:val="0D0D0D"/>
                <w:sz w:val="22"/>
                <w:szCs w:val="22"/>
              </w:rPr>
            </w:pPr>
            <w:r w:rsidRPr="00E24887">
              <w:rPr>
                <w:rFonts w:cs="Arial"/>
                <w:color w:val="0D0D0D"/>
                <w:sz w:val="22"/>
                <w:szCs w:val="22"/>
              </w:rPr>
              <w:t>4.10%</w:t>
            </w:r>
          </w:p>
        </w:tc>
        <w:tc>
          <w:tcPr>
            <w:tcW w:w="2670" w:type="dxa"/>
            <w:tcBorders>
              <w:top w:val="single" w:sz="4" w:space="0" w:color="A6A6A6"/>
              <w:left w:val="single" w:sz="4" w:space="0" w:color="A6A6A6"/>
              <w:bottom w:val="single" w:sz="4" w:space="0" w:color="A6A6A6"/>
              <w:right w:val="single" w:sz="4" w:space="0" w:color="A6A6A6"/>
            </w:tcBorders>
            <w:hideMark/>
          </w:tcPr>
          <w:p w14:paraId="01A41253" w14:textId="77777777" w:rsidR="00E24887" w:rsidRPr="00E24887" w:rsidRDefault="00E24887" w:rsidP="00E24887">
            <w:pPr>
              <w:spacing w:before="120" w:after="120"/>
              <w:jc w:val="center"/>
              <w:cnfStyle w:val="000000000000" w:firstRow="0" w:lastRow="0" w:firstColumn="0" w:lastColumn="0" w:oddVBand="0" w:evenVBand="0" w:oddHBand="0" w:evenHBand="0" w:firstRowFirstColumn="0" w:firstRowLastColumn="0" w:lastRowFirstColumn="0" w:lastRowLastColumn="0"/>
              <w:rPr>
                <w:rFonts w:cs="Arial"/>
                <w:color w:val="0D0D0D"/>
                <w:sz w:val="22"/>
                <w:szCs w:val="22"/>
              </w:rPr>
            </w:pPr>
            <w:r w:rsidRPr="00E24887">
              <w:rPr>
                <w:rFonts w:cs="Arial"/>
                <w:color w:val="0D0D0D"/>
                <w:sz w:val="22"/>
                <w:szCs w:val="22"/>
              </w:rPr>
              <w:t>4.20%</w:t>
            </w:r>
          </w:p>
        </w:tc>
      </w:tr>
      <w:tr w:rsidR="00E24887" w:rsidRPr="00E24887" w14:paraId="44456E0A" w14:textId="77777777">
        <w:tc>
          <w:tcPr>
            <w:cnfStyle w:val="001000000000" w:firstRow="0" w:lastRow="0" w:firstColumn="1" w:lastColumn="0" w:oddVBand="0" w:evenVBand="0" w:oddHBand="0" w:evenHBand="0" w:firstRowFirstColumn="0" w:firstRowLastColumn="0" w:lastRowFirstColumn="0" w:lastRowLastColumn="0"/>
            <w:tcW w:w="1522" w:type="dxa"/>
            <w:tcBorders>
              <w:top w:val="single" w:sz="4" w:space="0" w:color="A6A6A6"/>
              <w:left w:val="single" w:sz="4" w:space="0" w:color="A6A6A6"/>
              <w:bottom w:val="single" w:sz="4" w:space="0" w:color="A6A6A6"/>
              <w:right w:val="single" w:sz="4" w:space="0" w:color="A6A6A6"/>
            </w:tcBorders>
            <w:hideMark/>
          </w:tcPr>
          <w:p w14:paraId="04D48ADA" w14:textId="77777777" w:rsidR="00E24887" w:rsidRPr="00E24887" w:rsidRDefault="00E24887" w:rsidP="00E24887">
            <w:pPr>
              <w:spacing w:before="120" w:after="120"/>
              <w:jc w:val="both"/>
              <w:rPr>
                <w:rFonts w:cs="Arial"/>
                <w:color w:val="0D0D0D"/>
                <w:sz w:val="22"/>
                <w:szCs w:val="22"/>
              </w:rPr>
            </w:pPr>
            <w:r w:rsidRPr="00E24887">
              <w:rPr>
                <w:rFonts w:cs="Arial"/>
                <w:color w:val="0D0D0D"/>
                <w:sz w:val="22"/>
                <w:szCs w:val="22"/>
              </w:rPr>
              <w:t>10 years</w:t>
            </w:r>
          </w:p>
        </w:tc>
        <w:tc>
          <w:tcPr>
            <w:tcW w:w="2381" w:type="dxa"/>
            <w:tcBorders>
              <w:top w:val="single" w:sz="4" w:space="0" w:color="A6A6A6"/>
              <w:left w:val="single" w:sz="4" w:space="0" w:color="A6A6A6"/>
              <w:bottom w:val="single" w:sz="4" w:space="0" w:color="A6A6A6"/>
              <w:right w:val="single" w:sz="4" w:space="0" w:color="A6A6A6"/>
            </w:tcBorders>
            <w:hideMark/>
          </w:tcPr>
          <w:p w14:paraId="68DF7192" w14:textId="77777777" w:rsidR="00E24887" w:rsidRPr="00E24887" w:rsidRDefault="00E24887" w:rsidP="00E24887">
            <w:pPr>
              <w:spacing w:before="120" w:after="120"/>
              <w:jc w:val="center"/>
              <w:cnfStyle w:val="000000000000" w:firstRow="0" w:lastRow="0" w:firstColumn="0" w:lastColumn="0" w:oddVBand="0" w:evenVBand="0" w:oddHBand="0" w:evenHBand="0" w:firstRowFirstColumn="0" w:firstRowLastColumn="0" w:lastRowFirstColumn="0" w:lastRowLastColumn="0"/>
              <w:rPr>
                <w:rFonts w:cs="Arial"/>
                <w:color w:val="0D0D0D"/>
                <w:sz w:val="22"/>
                <w:szCs w:val="22"/>
              </w:rPr>
            </w:pPr>
            <w:r w:rsidRPr="00E24887">
              <w:rPr>
                <w:rFonts w:cs="Arial"/>
                <w:color w:val="0D0D0D"/>
                <w:sz w:val="22"/>
                <w:szCs w:val="22"/>
              </w:rPr>
              <w:t>5.39%</w:t>
            </w:r>
          </w:p>
        </w:tc>
        <w:tc>
          <w:tcPr>
            <w:tcW w:w="2618" w:type="dxa"/>
            <w:tcBorders>
              <w:top w:val="single" w:sz="4" w:space="0" w:color="A6A6A6"/>
              <w:left w:val="single" w:sz="4" w:space="0" w:color="A6A6A6"/>
              <w:bottom w:val="single" w:sz="4" w:space="0" w:color="A6A6A6"/>
              <w:right w:val="single" w:sz="4" w:space="0" w:color="A6A6A6"/>
            </w:tcBorders>
            <w:hideMark/>
          </w:tcPr>
          <w:p w14:paraId="5F14E237" w14:textId="77777777" w:rsidR="00E24887" w:rsidRPr="00E24887" w:rsidRDefault="00E24887" w:rsidP="00E24887">
            <w:pPr>
              <w:spacing w:before="120" w:after="120"/>
              <w:jc w:val="center"/>
              <w:cnfStyle w:val="000000000000" w:firstRow="0" w:lastRow="0" w:firstColumn="0" w:lastColumn="0" w:oddVBand="0" w:evenVBand="0" w:oddHBand="0" w:evenHBand="0" w:firstRowFirstColumn="0" w:firstRowLastColumn="0" w:lastRowFirstColumn="0" w:lastRowLastColumn="0"/>
              <w:rPr>
                <w:rFonts w:cs="Arial"/>
                <w:color w:val="0D0D0D"/>
                <w:sz w:val="22"/>
                <w:szCs w:val="22"/>
              </w:rPr>
            </w:pPr>
            <w:r w:rsidRPr="00E24887">
              <w:rPr>
                <w:rFonts w:cs="Arial"/>
                <w:color w:val="0D0D0D"/>
                <w:sz w:val="22"/>
                <w:szCs w:val="22"/>
              </w:rPr>
              <w:t>4.70%</w:t>
            </w:r>
          </w:p>
        </w:tc>
        <w:tc>
          <w:tcPr>
            <w:tcW w:w="2670" w:type="dxa"/>
            <w:tcBorders>
              <w:top w:val="single" w:sz="4" w:space="0" w:color="A6A6A6"/>
              <w:left w:val="single" w:sz="4" w:space="0" w:color="A6A6A6"/>
              <w:bottom w:val="single" w:sz="4" w:space="0" w:color="A6A6A6"/>
              <w:right w:val="single" w:sz="4" w:space="0" w:color="A6A6A6"/>
            </w:tcBorders>
            <w:hideMark/>
          </w:tcPr>
          <w:p w14:paraId="3F3736FD" w14:textId="77777777" w:rsidR="00E24887" w:rsidRPr="00E24887" w:rsidRDefault="00E24887" w:rsidP="00E24887">
            <w:pPr>
              <w:spacing w:before="120" w:after="120"/>
              <w:jc w:val="center"/>
              <w:cnfStyle w:val="000000000000" w:firstRow="0" w:lastRow="0" w:firstColumn="0" w:lastColumn="0" w:oddVBand="0" w:evenVBand="0" w:oddHBand="0" w:evenHBand="0" w:firstRowFirstColumn="0" w:firstRowLastColumn="0" w:lastRowFirstColumn="0" w:lastRowLastColumn="0"/>
              <w:rPr>
                <w:rFonts w:cs="Arial"/>
                <w:color w:val="0D0D0D"/>
                <w:sz w:val="22"/>
                <w:szCs w:val="22"/>
              </w:rPr>
            </w:pPr>
            <w:r w:rsidRPr="00E24887">
              <w:rPr>
                <w:rFonts w:cs="Arial"/>
                <w:color w:val="0D0D0D"/>
                <w:sz w:val="22"/>
                <w:szCs w:val="22"/>
              </w:rPr>
              <w:t>4.70%</w:t>
            </w:r>
          </w:p>
        </w:tc>
      </w:tr>
      <w:tr w:rsidR="00E24887" w:rsidRPr="00E24887" w14:paraId="1763506A" w14:textId="77777777">
        <w:tc>
          <w:tcPr>
            <w:cnfStyle w:val="001000000000" w:firstRow="0" w:lastRow="0" w:firstColumn="1" w:lastColumn="0" w:oddVBand="0" w:evenVBand="0" w:oddHBand="0" w:evenHBand="0" w:firstRowFirstColumn="0" w:firstRowLastColumn="0" w:lastRowFirstColumn="0" w:lastRowLastColumn="0"/>
            <w:tcW w:w="1522" w:type="dxa"/>
            <w:tcBorders>
              <w:top w:val="single" w:sz="4" w:space="0" w:color="A6A6A6"/>
              <w:left w:val="single" w:sz="4" w:space="0" w:color="A6A6A6"/>
              <w:bottom w:val="single" w:sz="4" w:space="0" w:color="A6A6A6"/>
              <w:right w:val="single" w:sz="4" w:space="0" w:color="A6A6A6"/>
            </w:tcBorders>
            <w:hideMark/>
          </w:tcPr>
          <w:p w14:paraId="369B3F37" w14:textId="77777777" w:rsidR="00E24887" w:rsidRPr="00E24887" w:rsidRDefault="00E24887" w:rsidP="00E24887">
            <w:pPr>
              <w:spacing w:before="120" w:after="120"/>
              <w:jc w:val="both"/>
              <w:rPr>
                <w:rFonts w:cs="Arial"/>
                <w:color w:val="0D0D0D"/>
                <w:sz w:val="22"/>
                <w:szCs w:val="22"/>
              </w:rPr>
            </w:pPr>
            <w:r w:rsidRPr="00E24887">
              <w:rPr>
                <w:rFonts w:cs="Arial"/>
                <w:color w:val="0D0D0D"/>
                <w:sz w:val="22"/>
                <w:szCs w:val="22"/>
              </w:rPr>
              <w:t>25 years</w:t>
            </w:r>
          </w:p>
        </w:tc>
        <w:tc>
          <w:tcPr>
            <w:tcW w:w="2381" w:type="dxa"/>
            <w:tcBorders>
              <w:top w:val="single" w:sz="4" w:space="0" w:color="A6A6A6"/>
              <w:left w:val="single" w:sz="4" w:space="0" w:color="A6A6A6"/>
              <w:bottom w:val="single" w:sz="4" w:space="0" w:color="A6A6A6"/>
              <w:right w:val="single" w:sz="4" w:space="0" w:color="A6A6A6"/>
            </w:tcBorders>
            <w:hideMark/>
          </w:tcPr>
          <w:p w14:paraId="7CD4E2B0" w14:textId="77777777" w:rsidR="00E24887" w:rsidRPr="00E24887" w:rsidRDefault="00E24887" w:rsidP="00E24887">
            <w:pPr>
              <w:spacing w:before="120" w:after="120"/>
              <w:jc w:val="center"/>
              <w:cnfStyle w:val="000000000000" w:firstRow="0" w:lastRow="0" w:firstColumn="0" w:lastColumn="0" w:oddVBand="0" w:evenVBand="0" w:oddHBand="0" w:evenHBand="0" w:firstRowFirstColumn="0" w:firstRowLastColumn="0" w:lastRowFirstColumn="0" w:lastRowLastColumn="0"/>
              <w:rPr>
                <w:rFonts w:cs="Arial"/>
                <w:color w:val="0D0D0D"/>
                <w:sz w:val="22"/>
                <w:szCs w:val="22"/>
              </w:rPr>
            </w:pPr>
            <w:r w:rsidRPr="00E24887">
              <w:rPr>
                <w:rFonts w:cs="Arial"/>
                <w:color w:val="0D0D0D"/>
                <w:sz w:val="22"/>
                <w:szCs w:val="22"/>
              </w:rPr>
              <w:t>6.01%</w:t>
            </w:r>
          </w:p>
        </w:tc>
        <w:tc>
          <w:tcPr>
            <w:tcW w:w="2618" w:type="dxa"/>
            <w:tcBorders>
              <w:top w:val="single" w:sz="4" w:space="0" w:color="A6A6A6"/>
              <w:left w:val="single" w:sz="4" w:space="0" w:color="A6A6A6"/>
              <w:bottom w:val="single" w:sz="4" w:space="0" w:color="A6A6A6"/>
              <w:right w:val="single" w:sz="4" w:space="0" w:color="A6A6A6"/>
            </w:tcBorders>
            <w:hideMark/>
          </w:tcPr>
          <w:p w14:paraId="0E09859B" w14:textId="77777777" w:rsidR="00E24887" w:rsidRPr="00E24887" w:rsidRDefault="00E24887" w:rsidP="00E24887">
            <w:pPr>
              <w:spacing w:before="120" w:after="120"/>
              <w:jc w:val="center"/>
              <w:cnfStyle w:val="000000000000" w:firstRow="0" w:lastRow="0" w:firstColumn="0" w:lastColumn="0" w:oddVBand="0" w:evenVBand="0" w:oddHBand="0" w:evenHBand="0" w:firstRowFirstColumn="0" w:firstRowLastColumn="0" w:lastRowFirstColumn="0" w:lastRowLastColumn="0"/>
              <w:rPr>
                <w:rFonts w:cs="Arial"/>
                <w:color w:val="0D0D0D"/>
                <w:sz w:val="22"/>
                <w:szCs w:val="22"/>
              </w:rPr>
            </w:pPr>
            <w:r w:rsidRPr="00E24887">
              <w:rPr>
                <w:rFonts w:cs="Arial"/>
                <w:color w:val="0D0D0D"/>
                <w:sz w:val="22"/>
                <w:szCs w:val="22"/>
              </w:rPr>
              <w:t>5.30%</w:t>
            </w:r>
          </w:p>
        </w:tc>
        <w:tc>
          <w:tcPr>
            <w:tcW w:w="2670" w:type="dxa"/>
            <w:tcBorders>
              <w:top w:val="single" w:sz="4" w:space="0" w:color="A6A6A6"/>
              <w:left w:val="single" w:sz="4" w:space="0" w:color="A6A6A6"/>
              <w:bottom w:val="single" w:sz="4" w:space="0" w:color="A6A6A6"/>
              <w:right w:val="single" w:sz="4" w:space="0" w:color="A6A6A6"/>
            </w:tcBorders>
            <w:hideMark/>
          </w:tcPr>
          <w:p w14:paraId="1E5754F7" w14:textId="77777777" w:rsidR="00E24887" w:rsidRPr="00E24887" w:rsidRDefault="00E24887" w:rsidP="00E24887">
            <w:pPr>
              <w:spacing w:before="120" w:after="120"/>
              <w:jc w:val="center"/>
              <w:cnfStyle w:val="000000000000" w:firstRow="0" w:lastRow="0" w:firstColumn="0" w:lastColumn="0" w:oddVBand="0" w:evenVBand="0" w:oddHBand="0" w:evenHBand="0" w:firstRowFirstColumn="0" w:firstRowLastColumn="0" w:lastRowFirstColumn="0" w:lastRowLastColumn="0"/>
              <w:rPr>
                <w:rFonts w:cs="Arial"/>
                <w:color w:val="0D0D0D"/>
                <w:sz w:val="22"/>
                <w:szCs w:val="22"/>
              </w:rPr>
            </w:pPr>
            <w:r w:rsidRPr="00E24887">
              <w:rPr>
                <w:rFonts w:cs="Arial"/>
                <w:color w:val="0D0D0D"/>
                <w:sz w:val="22"/>
                <w:szCs w:val="22"/>
              </w:rPr>
              <w:t>5.30%</w:t>
            </w:r>
          </w:p>
        </w:tc>
      </w:tr>
      <w:tr w:rsidR="00E24887" w:rsidRPr="00E24887" w14:paraId="1FC6A799" w14:textId="77777777">
        <w:tc>
          <w:tcPr>
            <w:cnfStyle w:val="001000000000" w:firstRow="0" w:lastRow="0" w:firstColumn="1" w:lastColumn="0" w:oddVBand="0" w:evenVBand="0" w:oddHBand="0" w:evenHBand="0" w:firstRowFirstColumn="0" w:firstRowLastColumn="0" w:lastRowFirstColumn="0" w:lastRowLastColumn="0"/>
            <w:tcW w:w="1522" w:type="dxa"/>
            <w:tcBorders>
              <w:top w:val="single" w:sz="4" w:space="0" w:color="A6A6A6"/>
              <w:left w:val="single" w:sz="4" w:space="0" w:color="A6A6A6"/>
              <w:bottom w:val="single" w:sz="4" w:space="0" w:color="A6A6A6"/>
              <w:right w:val="single" w:sz="4" w:space="0" w:color="A6A6A6"/>
            </w:tcBorders>
            <w:hideMark/>
          </w:tcPr>
          <w:p w14:paraId="5810AD53" w14:textId="77777777" w:rsidR="00E24887" w:rsidRPr="00E24887" w:rsidRDefault="00E24887" w:rsidP="00E24887">
            <w:pPr>
              <w:spacing w:before="120" w:after="120"/>
              <w:jc w:val="both"/>
              <w:rPr>
                <w:rFonts w:cs="Arial"/>
                <w:color w:val="0D0D0D"/>
                <w:sz w:val="22"/>
                <w:szCs w:val="22"/>
              </w:rPr>
            </w:pPr>
            <w:r w:rsidRPr="00E24887">
              <w:rPr>
                <w:rFonts w:cs="Arial"/>
                <w:color w:val="0D0D0D"/>
                <w:sz w:val="22"/>
                <w:szCs w:val="22"/>
              </w:rPr>
              <w:t>50 years</w:t>
            </w:r>
          </w:p>
        </w:tc>
        <w:tc>
          <w:tcPr>
            <w:tcW w:w="2381" w:type="dxa"/>
            <w:tcBorders>
              <w:top w:val="single" w:sz="4" w:space="0" w:color="A6A6A6"/>
              <w:left w:val="single" w:sz="4" w:space="0" w:color="A6A6A6"/>
              <w:bottom w:val="single" w:sz="4" w:space="0" w:color="A6A6A6"/>
              <w:right w:val="single" w:sz="4" w:space="0" w:color="A6A6A6"/>
            </w:tcBorders>
            <w:hideMark/>
          </w:tcPr>
          <w:p w14:paraId="12D6398C" w14:textId="77777777" w:rsidR="00E24887" w:rsidRPr="00E24887" w:rsidRDefault="00E24887" w:rsidP="00E24887">
            <w:pPr>
              <w:spacing w:before="120" w:after="120"/>
              <w:jc w:val="center"/>
              <w:cnfStyle w:val="000000000000" w:firstRow="0" w:lastRow="0" w:firstColumn="0" w:lastColumn="0" w:oddVBand="0" w:evenVBand="0" w:oddHBand="0" w:evenHBand="0" w:firstRowFirstColumn="0" w:firstRowLastColumn="0" w:lastRowFirstColumn="0" w:lastRowLastColumn="0"/>
              <w:rPr>
                <w:rFonts w:cs="Arial"/>
                <w:color w:val="0D0D0D"/>
                <w:sz w:val="22"/>
                <w:szCs w:val="22"/>
              </w:rPr>
            </w:pPr>
            <w:r w:rsidRPr="00E24887">
              <w:rPr>
                <w:rFonts w:cs="Arial"/>
                <w:color w:val="0D0D0D"/>
                <w:sz w:val="22"/>
                <w:szCs w:val="22"/>
              </w:rPr>
              <w:t>5.78%</w:t>
            </w:r>
          </w:p>
        </w:tc>
        <w:tc>
          <w:tcPr>
            <w:tcW w:w="2618" w:type="dxa"/>
            <w:tcBorders>
              <w:top w:val="single" w:sz="4" w:space="0" w:color="A6A6A6"/>
              <w:left w:val="single" w:sz="4" w:space="0" w:color="A6A6A6"/>
              <w:bottom w:val="single" w:sz="4" w:space="0" w:color="A6A6A6"/>
              <w:right w:val="single" w:sz="4" w:space="0" w:color="A6A6A6"/>
            </w:tcBorders>
            <w:hideMark/>
          </w:tcPr>
          <w:p w14:paraId="3F6A7505" w14:textId="77777777" w:rsidR="00E24887" w:rsidRPr="00E24887" w:rsidRDefault="00E24887" w:rsidP="00E24887">
            <w:pPr>
              <w:spacing w:before="120" w:after="120"/>
              <w:jc w:val="center"/>
              <w:cnfStyle w:val="000000000000" w:firstRow="0" w:lastRow="0" w:firstColumn="0" w:lastColumn="0" w:oddVBand="0" w:evenVBand="0" w:oddHBand="0" w:evenHBand="0" w:firstRowFirstColumn="0" w:firstRowLastColumn="0" w:lastRowFirstColumn="0" w:lastRowLastColumn="0"/>
              <w:rPr>
                <w:rFonts w:cs="Arial"/>
                <w:color w:val="0D0D0D"/>
                <w:sz w:val="22"/>
                <w:szCs w:val="22"/>
              </w:rPr>
            </w:pPr>
            <w:r w:rsidRPr="00E24887">
              <w:rPr>
                <w:rFonts w:cs="Arial"/>
                <w:color w:val="0D0D0D"/>
                <w:sz w:val="22"/>
                <w:szCs w:val="22"/>
              </w:rPr>
              <w:t>5.10%</w:t>
            </w:r>
          </w:p>
        </w:tc>
        <w:tc>
          <w:tcPr>
            <w:tcW w:w="2670" w:type="dxa"/>
            <w:tcBorders>
              <w:top w:val="single" w:sz="4" w:space="0" w:color="A6A6A6"/>
              <w:left w:val="single" w:sz="4" w:space="0" w:color="A6A6A6"/>
              <w:bottom w:val="single" w:sz="4" w:space="0" w:color="A6A6A6"/>
              <w:right w:val="single" w:sz="4" w:space="0" w:color="A6A6A6"/>
            </w:tcBorders>
            <w:hideMark/>
          </w:tcPr>
          <w:p w14:paraId="72180D64" w14:textId="77777777" w:rsidR="00E24887" w:rsidRPr="00E24887" w:rsidRDefault="00E24887" w:rsidP="00E24887">
            <w:pPr>
              <w:spacing w:before="120" w:after="120"/>
              <w:jc w:val="center"/>
              <w:cnfStyle w:val="000000000000" w:firstRow="0" w:lastRow="0" w:firstColumn="0" w:lastColumn="0" w:oddVBand="0" w:evenVBand="0" w:oddHBand="0" w:evenHBand="0" w:firstRowFirstColumn="0" w:firstRowLastColumn="0" w:lastRowFirstColumn="0" w:lastRowLastColumn="0"/>
              <w:rPr>
                <w:rFonts w:cs="Arial"/>
                <w:color w:val="0D0D0D"/>
                <w:sz w:val="22"/>
                <w:szCs w:val="22"/>
              </w:rPr>
            </w:pPr>
            <w:r w:rsidRPr="00E24887">
              <w:rPr>
                <w:rFonts w:cs="Arial"/>
                <w:color w:val="0D0D0D"/>
                <w:sz w:val="22"/>
                <w:szCs w:val="22"/>
              </w:rPr>
              <w:t>5.10%</w:t>
            </w:r>
          </w:p>
        </w:tc>
      </w:tr>
    </w:tbl>
    <w:p w14:paraId="23184C36" w14:textId="77777777" w:rsidR="00E24887" w:rsidRPr="00E24887" w:rsidRDefault="00E24887" w:rsidP="00E24887">
      <w:pPr>
        <w:spacing w:before="120" w:after="120"/>
        <w:ind w:left="567"/>
        <w:jc w:val="both"/>
        <w:rPr>
          <w:rFonts w:eastAsia="Arial" w:cs="Arial"/>
          <w:b/>
          <w:bCs/>
          <w:color w:val="000000"/>
          <w:sz w:val="24"/>
          <w:szCs w:val="24"/>
          <w:lang w:val="en-AU" w:eastAsia="en-US"/>
        </w:rPr>
      </w:pPr>
      <w:r w:rsidRPr="00E24887">
        <w:rPr>
          <w:rFonts w:eastAsia="Arial" w:cs="Arial"/>
          <w:b/>
          <w:bCs/>
          <w:color w:val="000000"/>
          <w:sz w:val="24"/>
          <w:szCs w:val="24"/>
          <w:lang w:val="en-AU" w:eastAsia="en-US"/>
        </w:rPr>
        <w:t xml:space="preserve">Borrowing advice: </w:t>
      </w:r>
      <w:r w:rsidRPr="00E24887">
        <w:rPr>
          <w:rFonts w:eastAsia="Arial" w:cs="Arial"/>
          <w:color w:val="000000"/>
          <w:sz w:val="24"/>
          <w:szCs w:val="24"/>
          <w:lang w:val="en-AU" w:eastAsia="en-US"/>
        </w:rPr>
        <w:t>Our long-term (beyond 10 years) forecast for the neutral level of Bank Rate remains at 3.5%.  As all PWLB certainty rates are currently significantly above this level, borrowing strategies will need to be reviewed in that context.  Overall, better value can be obtained at the shorter end of the curve and short-dated fixed LA to LA monies should also be considered. Temporary borrowing rates will, generally, fall in line with Bank Rate cuts.</w:t>
      </w:r>
    </w:p>
    <w:p w14:paraId="46233134" w14:textId="77777777" w:rsidR="00E24887" w:rsidRDefault="00E24887" w:rsidP="00C125EF">
      <w:pPr>
        <w:spacing w:before="120" w:after="120"/>
        <w:ind w:left="709"/>
        <w:jc w:val="both"/>
        <w:rPr>
          <w:rFonts w:eastAsia="Arial" w:cs="Arial"/>
          <w:color w:val="000000"/>
          <w:sz w:val="24"/>
          <w:szCs w:val="24"/>
          <w:lang w:val="en-AU"/>
        </w:rPr>
      </w:pPr>
    </w:p>
    <w:p w14:paraId="1D824216" w14:textId="77777777" w:rsidR="00E24887" w:rsidRPr="00E24887" w:rsidRDefault="00E24887" w:rsidP="00E24887">
      <w:pPr>
        <w:spacing w:before="120" w:after="120"/>
        <w:ind w:left="567"/>
        <w:jc w:val="both"/>
        <w:rPr>
          <w:rFonts w:eastAsia="Arial" w:cs="Arial"/>
          <w:color w:val="000000"/>
          <w:sz w:val="24"/>
          <w:szCs w:val="24"/>
          <w:lang w:val="en-AU" w:eastAsia="en-US"/>
        </w:rPr>
      </w:pPr>
      <w:r w:rsidRPr="00E24887">
        <w:rPr>
          <w:rFonts w:eastAsia="Arial" w:cs="Arial"/>
          <w:color w:val="000000"/>
          <w:sz w:val="24"/>
          <w:szCs w:val="24"/>
          <w:lang w:val="en-AU" w:eastAsia="en-US"/>
        </w:rPr>
        <w:t xml:space="preserve">MUFG’s suggested budgeted earnings rates for investments up to about three months’ duration in each financial year are set out below.  </w:t>
      </w:r>
    </w:p>
    <w:tbl>
      <w:tblPr>
        <w:tblStyle w:val="DefaultTable2"/>
        <w:tblW w:w="7797" w:type="dxa"/>
        <w:tblInd w:w="1339" w:type="dxa"/>
        <w:tblLook w:val="04A0" w:firstRow="1" w:lastRow="0" w:firstColumn="1" w:lastColumn="0" w:noHBand="0" w:noVBand="1"/>
      </w:tblPr>
      <w:tblGrid>
        <w:gridCol w:w="3418"/>
        <w:gridCol w:w="2252"/>
        <w:gridCol w:w="2127"/>
      </w:tblGrid>
      <w:tr w:rsidR="00E24887" w:rsidRPr="00E24887" w14:paraId="7514D54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8" w:type="dxa"/>
            <w:tcBorders>
              <w:top w:val="single" w:sz="4" w:space="0" w:color="A6A6A6"/>
              <w:left w:val="single" w:sz="4" w:space="0" w:color="A6A6A6"/>
              <w:bottom w:val="single" w:sz="4" w:space="0" w:color="A6A6A6"/>
              <w:right w:val="single" w:sz="4" w:space="0" w:color="A6A6A6"/>
            </w:tcBorders>
            <w:hideMark/>
          </w:tcPr>
          <w:p w14:paraId="292DFD4A" w14:textId="77777777" w:rsidR="00E24887" w:rsidRPr="00E24887" w:rsidRDefault="00E24887" w:rsidP="00E24887">
            <w:pPr>
              <w:spacing w:before="120" w:after="120"/>
              <w:jc w:val="center"/>
              <w:rPr>
                <w:rFonts w:cs="Arial"/>
                <w:sz w:val="22"/>
                <w:szCs w:val="22"/>
              </w:rPr>
            </w:pPr>
            <w:r w:rsidRPr="00E24887">
              <w:rPr>
                <w:rFonts w:cs="Arial"/>
                <w:sz w:val="22"/>
                <w:szCs w:val="22"/>
              </w:rPr>
              <w:t>Average earnings in each year</w:t>
            </w:r>
          </w:p>
        </w:tc>
        <w:tc>
          <w:tcPr>
            <w:tcW w:w="2252" w:type="dxa"/>
            <w:tcBorders>
              <w:top w:val="single" w:sz="4" w:space="0" w:color="A6A6A6"/>
              <w:left w:val="single" w:sz="4" w:space="0" w:color="A6A6A6"/>
              <w:bottom w:val="single" w:sz="4" w:space="0" w:color="A6A6A6"/>
              <w:right w:val="single" w:sz="4" w:space="0" w:color="A6A6A6"/>
            </w:tcBorders>
            <w:hideMark/>
          </w:tcPr>
          <w:p w14:paraId="645ADBAB" w14:textId="77777777" w:rsidR="00E24887" w:rsidRPr="00E24887" w:rsidRDefault="00E24887" w:rsidP="00E24887">
            <w:pPr>
              <w:spacing w:before="120" w:after="120"/>
              <w:jc w:val="center"/>
              <w:cnfStyle w:val="100000000000" w:firstRow="1" w:lastRow="0" w:firstColumn="0" w:lastColumn="0" w:oddVBand="0" w:evenVBand="0" w:oddHBand="0" w:evenHBand="0" w:firstRowFirstColumn="0" w:firstRowLastColumn="0" w:lastRowFirstColumn="0" w:lastRowLastColumn="0"/>
              <w:rPr>
                <w:rFonts w:cs="Arial"/>
                <w:sz w:val="22"/>
                <w:szCs w:val="22"/>
              </w:rPr>
            </w:pPr>
            <w:r w:rsidRPr="00E24887">
              <w:rPr>
                <w:rFonts w:cs="Arial"/>
                <w:sz w:val="22"/>
                <w:szCs w:val="22"/>
              </w:rPr>
              <w:t>Now</w:t>
            </w:r>
          </w:p>
        </w:tc>
        <w:tc>
          <w:tcPr>
            <w:tcW w:w="2127" w:type="dxa"/>
            <w:tcBorders>
              <w:top w:val="single" w:sz="4" w:space="0" w:color="A6A6A6"/>
              <w:left w:val="single" w:sz="4" w:space="0" w:color="A6A6A6"/>
              <w:bottom w:val="single" w:sz="4" w:space="0" w:color="A6A6A6"/>
              <w:right w:val="single" w:sz="4" w:space="0" w:color="A6A6A6"/>
            </w:tcBorders>
            <w:hideMark/>
          </w:tcPr>
          <w:p w14:paraId="0CAA1C85" w14:textId="77777777" w:rsidR="00E24887" w:rsidRPr="00E24887" w:rsidRDefault="00E24887" w:rsidP="00E24887">
            <w:pPr>
              <w:spacing w:before="120" w:after="120"/>
              <w:jc w:val="center"/>
              <w:cnfStyle w:val="100000000000" w:firstRow="1" w:lastRow="0" w:firstColumn="0" w:lastColumn="0" w:oddVBand="0" w:evenVBand="0" w:oddHBand="0" w:evenHBand="0" w:firstRowFirstColumn="0" w:firstRowLastColumn="0" w:lastRowFirstColumn="0" w:lastRowLastColumn="0"/>
              <w:rPr>
                <w:rFonts w:cs="Arial"/>
                <w:sz w:val="22"/>
                <w:szCs w:val="22"/>
              </w:rPr>
            </w:pPr>
            <w:r w:rsidRPr="00E24887">
              <w:rPr>
                <w:rFonts w:cs="Arial"/>
                <w:sz w:val="22"/>
                <w:szCs w:val="22"/>
              </w:rPr>
              <w:t>Previously</w:t>
            </w:r>
          </w:p>
        </w:tc>
      </w:tr>
      <w:tr w:rsidR="00E24887" w:rsidRPr="00E24887" w14:paraId="2F5DF31C" w14:textId="77777777">
        <w:tc>
          <w:tcPr>
            <w:cnfStyle w:val="001000000000" w:firstRow="0" w:lastRow="0" w:firstColumn="1" w:lastColumn="0" w:oddVBand="0" w:evenVBand="0" w:oddHBand="0" w:evenHBand="0" w:firstRowFirstColumn="0" w:firstRowLastColumn="0" w:lastRowFirstColumn="0" w:lastRowLastColumn="0"/>
            <w:tcW w:w="3418" w:type="dxa"/>
            <w:tcBorders>
              <w:top w:val="single" w:sz="4" w:space="0" w:color="A6A6A6"/>
              <w:left w:val="single" w:sz="4" w:space="0" w:color="A6A6A6"/>
              <w:bottom w:val="single" w:sz="4" w:space="0" w:color="A6A6A6"/>
              <w:right w:val="single" w:sz="4" w:space="0" w:color="A6A6A6"/>
            </w:tcBorders>
            <w:hideMark/>
          </w:tcPr>
          <w:p w14:paraId="3B47297C" w14:textId="77777777" w:rsidR="00E24887" w:rsidRPr="00E24887" w:rsidRDefault="00E24887" w:rsidP="00E24887">
            <w:pPr>
              <w:spacing w:before="120" w:after="120"/>
              <w:jc w:val="center"/>
              <w:rPr>
                <w:rFonts w:cs="Arial"/>
                <w:color w:val="0D0D0D"/>
                <w:sz w:val="22"/>
                <w:szCs w:val="22"/>
              </w:rPr>
            </w:pPr>
            <w:bookmarkStart w:id="9" w:name="_Hlk122349440"/>
            <w:r w:rsidRPr="00E24887">
              <w:rPr>
                <w:rFonts w:cs="Arial"/>
                <w:color w:val="0D0D0D"/>
                <w:sz w:val="22"/>
                <w:szCs w:val="22"/>
              </w:rPr>
              <w:t>2025/26 (residual)</w:t>
            </w:r>
          </w:p>
        </w:tc>
        <w:tc>
          <w:tcPr>
            <w:tcW w:w="2252" w:type="dxa"/>
            <w:tcBorders>
              <w:top w:val="single" w:sz="4" w:space="0" w:color="A6A6A6"/>
              <w:left w:val="single" w:sz="4" w:space="0" w:color="A6A6A6"/>
              <w:bottom w:val="single" w:sz="4" w:space="0" w:color="A6A6A6"/>
              <w:right w:val="single" w:sz="4" w:space="0" w:color="A6A6A6"/>
            </w:tcBorders>
            <w:hideMark/>
          </w:tcPr>
          <w:p w14:paraId="340F5D7A" w14:textId="77777777" w:rsidR="00E24887" w:rsidRPr="00E24887" w:rsidRDefault="00E24887" w:rsidP="00E24887">
            <w:pPr>
              <w:spacing w:before="120" w:after="120"/>
              <w:jc w:val="center"/>
              <w:cnfStyle w:val="000000000000" w:firstRow="0" w:lastRow="0" w:firstColumn="0" w:lastColumn="0" w:oddVBand="0" w:evenVBand="0" w:oddHBand="0" w:evenHBand="0" w:firstRowFirstColumn="0" w:firstRowLastColumn="0" w:lastRowFirstColumn="0" w:lastRowLastColumn="0"/>
              <w:rPr>
                <w:rFonts w:cs="Arial"/>
                <w:color w:val="0D0D0D"/>
                <w:sz w:val="22"/>
                <w:szCs w:val="22"/>
              </w:rPr>
            </w:pPr>
            <w:r w:rsidRPr="00E24887">
              <w:rPr>
                <w:rFonts w:cs="Arial"/>
                <w:color w:val="0D0D0D"/>
                <w:sz w:val="22"/>
                <w:szCs w:val="22"/>
              </w:rPr>
              <w:t>3.80%</w:t>
            </w:r>
          </w:p>
        </w:tc>
        <w:tc>
          <w:tcPr>
            <w:tcW w:w="2127" w:type="dxa"/>
            <w:tcBorders>
              <w:top w:val="single" w:sz="4" w:space="0" w:color="A6A6A6"/>
              <w:left w:val="single" w:sz="4" w:space="0" w:color="A6A6A6"/>
              <w:bottom w:val="single" w:sz="4" w:space="0" w:color="A6A6A6"/>
              <w:right w:val="single" w:sz="4" w:space="0" w:color="A6A6A6"/>
            </w:tcBorders>
            <w:hideMark/>
          </w:tcPr>
          <w:p w14:paraId="4C81EC95" w14:textId="77777777" w:rsidR="00E24887" w:rsidRPr="00E24887" w:rsidRDefault="00E24887" w:rsidP="00E24887">
            <w:pPr>
              <w:spacing w:before="120" w:after="120"/>
              <w:jc w:val="center"/>
              <w:cnfStyle w:val="000000000000" w:firstRow="0" w:lastRow="0" w:firstColumn="0" w:lastColumn="0" w:oddVBand="0" w:evenVBand="0" w:oddHBand="0" w:evenHBand="0" w:firstRowFirstColumn="0" w:firstRowLastColumn="0" w:lastRowFirstColumn="0" w:lastRowLastColumn="0"/>
              <w:rPr>
                <w:rFonts w:cs="Arial"/>
                <w:color w:val="0D0D0D"/>
                <w:sz w:val="22"/>
                <w:szCs w:val="22"/>
              </w:rPr>
            </w:pPr>
            <w:r w:rsidRPr="00E24887">
              <w:rPr>
                <w:rFonts w:cs="Arial"/>
                <w:color w:val="0D0D0D"/>
                <w:sz w:val="22"/>
                <w:szCs w:val="22"/>
              </w:rPr>
              <w:t>3.90%</w:t>
            </w:r>
          </w:p>
        </w:tc>
      </w:tr>
      <w:tr w:rsidR="00E24887" w:rsidRPr="00E24887" w14:paraId="38C9BD2F" w14:textId="77777777">
        <w:tc>
          <w:tcPr>
            <w:cnfStyle w:val="001000000000" w:firstRow="0" w:lastRow="0" w:firstColumn="1" w:lastColumn="0" w:oddVBand="0" w:evenVBand="0" w:oddHBand="0" w:evenHBand="0" w:firstRowFirstColumn="0" w:firstRowLastColumn="0" w:lastRowFirstColumn="0" w:lastRowLastColumn="0"/>
            <w:tcW w:w="3418" w:type="dxa"/>
            <w:tcBorders>
              <w:top w:val="single" w:sz="4" w:space="0" w:color="A6A6A6"/>
              <w:left w:val="single" w:sz="4" w:space="0" w:color="A6A6A6"/>
              <w:bottom w:val="single" w:sz="4" w:space="0" w:color="A6A6A6"/>
              <w:right w:val="single" w:sz="4" w:space="0" w:color="A6A6A6"/>
            </w:tcBorders>
            <w:hideMark/>
          </w:tcPr>
          <w:p w14:paraId="424450FD" w14:textId="77777777" w:rsidR="00E24887" w:rsidRPr="00E24887" w:rsidRDefault="00E24887" w:rsidP="00E24887">
            <w:pPr>
              <w:spacing w:before="120" w:after="120"/>
              <w:jc w:val="center"/>
              <w:rPr>
                <w:rFonts w:cs="Arial"/>
                <w:color w:val="0D0D0D"/>
                <w:sz w:val="22"/>
                <w:szCs w:val="22"/>
              </w:rPr>
            </w:pPr>
            <w:r w:rsidRPr="00E24887">
              <w:rPr>
                <w:rFonts w:cs="Arial"/>
                <w:color w:val="0D0D0D"/>
                <w:sz w:val="22"/>
                <w:szCs w:val="22"/>
              </w:rPr>
              <w:t>2026/27</w:t>
            </w:r>
          </w:p>
        </w:tc>
        <w:tc>
          <w:tcPr>
            <w:tcW w:w="2252" w:type="dxa"/>
            <w:tcBorders>
              <w:top w:val="single" w:sz="4" w:space="0" w:color="A6A6A6"/>
              <w:left w:val="single" w:sz="4" w:space="0" w:color="A6A6A6"/>
              <w:bottom w:val="single" w:sz="4" w:space="0" w:color="A6A6A6"/>
              <w:right w:val="single" w:sz="4" w:space="0" w:color="A6A6A6"/>
            </w:tcBorders>
            <w:hideMark/>
          </w:tcPr>
          <w:p w14:paraId="51E3CF41" w14:textId="77777777" w:rsidR="00E24887" w:rsidRPr="00E24887" w:rsidRDefault="00E24887" w:rsidP="00E24887">
            <w:pPr>
              <w:spacing w:before="120" w:after="120"/>
              <w:cnfStyle w:val="000000000000" w:firstRow="0" w:lastRow="0" w:firstColumn="0" w:lastColumn="0" w:oddVBand="0" w:evenVBand="0" w:oddHBand="0" w:evenHBand="0" w:firstRowFirstColumn="0" w:firstRowLastColumn="0" w:lastRowFirstColumn="0" w:lastRowLastColumn="0"/>
              <w:rPr>
                <w:rFonts w:cs="Arial"/>
                <w:color w:val="0D0D0D"/>
                <w:sz w:val="22"/>
                <w:szCs w:val="22"/>
              </w:rPr>
            </w:pPr>
            <w:r w:rsidRPr="00E24887">
              <w:rPr>
                <w:rFonts w:cs="Arial"/>
                <w:color w:val="0D0D0D"/>
                <w:sz w:val="22"/>
                <w:szCs w:val="22"/>
              </w:rPr>
              <w:t xml:space="preserve">            3.40%</w:t>
            </w:r>
          </w:p>
        </w:tc>
        <w:tc>
          <w:tcPr>
            <w:tcW w:w="2127" w:type="dxa"/>
            <w:tcBorders>
              <w:top w:val="single" w:sz="4" w:space="0" w:color="A6A6A6"/>
              <w:left w:val="single" w:sz="4" w:space="0" w:color="A6A6A6"/>
              <w:bottom w:val="single" w:sz="4" w:space="0" w:color="A6A6A6"/>
              <w:right w:val="single" w:sz="4" w:space="0" w:color="A6A6A6"/>
            </w:tcBorders>
            <w:hideMark/>
          </w:tcPr>
          <w:p w14:paraId="2B92C62F" w14:textId="77777777" w:rsidR="00E24887" w:rsidRPr="00E24887" w:rsidRDefault="00E24887" w:rsidP="00E24887">
            <w:pPr>
              <w:spacing w:before="120" w:after="120"/>
              <w:jc w:val="center"/>
              <w:cnfStyle w:val="000000000000" w:firstRow="0" w:lastRow="0" w:firstColumn="0" w:lastColumn="0" w:oddVBand="0" w:evenVBand="0" w:oddHBand="0" w:evenHBand="0" w:firstRowFirstColumn="0" w:firstRowLastColumn="0" w:lastRowFirstColumn="0" w:lastRowLastColumn="0"/>
              <w:rPr>
                <w:rFonts w:cs="Arial"/>
                <w:color w:val="0D0D0D"/>
                <w:sz w:val="22"/>
                <w:szCs w:val="22"/>
              </w:rPr>
            </w:pPr>
            <w:r w:rsidRPr="00E24887">
              <w:rPr>
                <w:rFonts w:cs="Arial"/>
                <w:color w:val="0D0D0D"/>
                <w:sz w:val="22"/>
                <w:szCs w:val="22"/>
              </w:rPr>
              <w:t>3.60%</w:t>
            </w:r>
          </w:p>
        </w:tc>
      </w:tr>
      <w:tr w:rsidR="00E24887" w:rsidRPr="00E24887" w14:paraId="7101ACE0" w14:textId="77777777">
        <w:tc>
          <w:tcPr>
            <w:cnfStyle w:val="001000000000" w:firstRow="0" w:lastRow="0" w:firstColumn="1" w:lastColumn="0" w:oddVBand="0" w:evenVBand="0" w:oddHBand="0" w:evenHBand="0" w:firstRowFirstColumn="0" w:firstRowLastColumn="0" w:lastRowFirstColumn="0" w:lastRowLastColumn="0"/>
            <w:tcW w:w="3418" w:type="dxa"/>
            <w:tcBorders>
              <w:top w:val="single" w:sz="4" w:space="0" w:color="A6A6A6"/>
              <w:left w:val="single" w:sz="4" w:space="0" w:color="A6A6A6"/>
              <w:bottom w:val="single" w:sz="4" w:space="0" w:color="A6A6A6"/>
              <w:right w:val="single" w:sz="4" w:space="0" w:color="A6A6A6"/>
            </w:tcBorders>
            <w:hideMark/>
          </w:tcPr>
          <w:p w14:paraId="2E6B9230" w14:textId="77777777" w:rsidR="00E24887" w:rsidRPr="00E24887" w:rsidRDefault="00E24887" w:rsidP="00E24887">
            <w:pPr>
              <w:spacing w:before="120" w:after="120"/>
              <w:jc w:val="center"/>
              <w:rPr>
                <w:rFonts w:cs="Arial"/>
                <w:color w:val="0D0D0D"/>
                <w:sz w:val="22"/>
                <w:szCs w:val="22"/>
              </w:rPr>
            </w:pPr>
            <w:r w:rsidRPr="00E24887">
              <w:rPr>
                <w:rFonts w:cs="Arial"/>
                <w:color w:val="0D0D0D"/>
                <w:sz w:val="22"/>
                <w:szCs w:val="22"/>
              </w:rPr>
              <w:t>2027/28</w:t>
            </w:r>
          </w:p>
        </w:tc>
        <w:tc>
          <w:tcPr>
            <w:tcW w:w="2252" w:type="dxa"/>
            <w:tcBorders>
              <w:top w:val="single" w:sz="4" w:space="0" w:color="A6A6A6"/>
              <w:left w:val="single" w:sz="4" w:space="0" w:color="A6A6A6"/>
              <w:bottom w:val="single" w:sz="4" w:space="0" w:color="A6A6A6"/>
              <w:right w:val="single" w:sz="4" w:space="0" w:color="A6A6A6"/>
            </w:tcBorders>
            <w:hideMark/>
          </w:tcPr>
          <w:p w14:paraId="6FD3F44E" w14:textId="77777777" w:rsidR="00E24887" w:rsidRPr="00E24887" w:rsidRDefault="00E24887" w:rsidP="00E24887">
            <w:pPr>
              <w:spacing w:before="120" w:after="120"/>
              <w:jc w:val="center"/>
              <w:cnfStyle w:val="000000000000" w:firstRow="0" w:lastRow="0" w:firstColumn="0" w:lastColumn="0" w:oddVBand="0" w:evenVBand="0" w:oddHBand="0" w:evenHBand="0" w:firstRowFirstColumn="0" w:firstRowLastColumn="0" w:lastRowFirstColumn="0" w:lastRowLastColumn="0"/>
              <w:rPr>
                <w:rFonts w:cs="Arial"/>
                <w:color w:val="0D0D0D"/>
                <w:sz w:val="22"/>
                <w:szCs w:val="22"/>
              </w:rPr>
            </w:pPr>
            <w:r w:rsidRPr="00E24887">
              <w:rPr>
                <w:rFonts w:cs="Arial"/>
                <w:color w:val="0D0D0D"/>
                <w:sz w:val="22"/>
                <w:szCs w:val="22"/>
              </w:rPr>
              <w:t>3.30%</w:t>
            </w:r>
          </w:p>
        </w:tc>
        <w:tc>
          <w:tcPr>
            <w:tcW w:w="2127" w:type="dxa"/>
            <w:tcBorders>
              <w:top w:val="single" w:sz="4" w:space="0" w:color="A6A6A6"/>
              <w:left w:val="single" w:sz="4" w:space="0" w:color="A6A6A6"/>
              <w:bottom w:val="single" w:sz="4" w:space="0" w:color="A6A6A6"/>
              <w:right w:val="single" w:sz="4" w:space="0" w:color="A6A6A6"/>
            </w:tcBorders>
            <w:hideMark/>
          </w:tcPr>
          <w:p w14:paraId="31504F5F" w14:textId="77777777" w:rsidR="00E24887" w:rsidRPr="00E24887" w:rsidRDefault="00E24887" w:rsidP="00E24887">
            <w:pPr>
              <w:spacing w:before="120" w:after="120"/>
              <w:jc w:val="center"/>
              <w:cnfStyle w:val="000000000000" w:firstRow="0" w:lastRow="0" w:firstColumn="0" w:lastColumn="0" w:oddVBand="0" w:evenVBand="0" w:oddHBand="0" w:evenHBand="0" w:firstRowFirstColumn="0" w:firstRowLastColumn="0" w:lastRowFirstColumn="0" w:lastRowLastColumn="0"/>
              <w:rPr>
                <w:rFonts w:cs="Arial"/>
                <w:color w:val="0D0D0D"/>
                <w:sz w:val="22"/>
                <w:szCs w:val="22"/>
              </w:rPr>
            </w:pPr>
            <w:r w:rsidRPr="00E24887">
              <w:rPr>
                <w:rFonts w:cs="Arial"/>
                <w:color w:val="0D0D0D"/>
                <w:sz w:val="22"/>
                <w:szCs w:val="22"/>
              </w:rPr>
              <w:t>3.30%</w:t>
            </w:r>
          </w:p>
        </w:tc>
      </w:tr>
      <w:tr w:rsidR="00E24887" w:rsidRPr="00E24887" w14:paraId="68DA0ABC" w14:textId="77777777">
        <w:tc>
          <w:tcPr>
            <w:cnfStyle w:val="001000000000" w:firstRow="0" w:lastRow="0" w:firstColumn="1" w:lastColumn="0" w:oddVBand="0" w:evenVBand="0" w:oddHBand="0" w:evenHBand="0" w:firstRowFirstColumn="0" w:firstRowLastColumn="0" w:lastRowFirstColumn="0" w:lastRowLastColumn="0"/>
            <w:tcW w:w="3418" w:type="dxa"/>
            <w:tcBorders>
              <w:top w:val="single" w:sz="4" w:space="0" w:color="A6A6A6"/>
              <w:left w:val="single" w:sz="4" w:space="0" w:color="A6A6A6"/>
              <w:bottom w:val="single" w:sz="4" w:space="0" w:color="A6A6A6"/>
              <w:right w:val="single" w:sz="4" w:space="0" w:color="A6A6A6"/>
            </w:tcBorders>
            <w:hideMark/>
          </w:tcPr>
          <w:p w14:paraId="68520482" w14:textId="77777777" w:rsidR="00E24887" w:rsidRPr="00E24887" w:rsidRDefault="00E24887" w:rsidP="00E24887">
            <w:pPr>
              <w:spacing w:before="120" w:after="120"/>
              <w:jc w:val="center"/>
              <w:rPr>
                <w:rFonts w:cs="Arial"/>
                <w:color w:val="0D0D0D"/>
                <w:sz w:val="22"/>
                <w:szCs w:val="22"/>
              </w:rPr>
            </w:pPr>
            <w:r w:rsidRPr="00E24887">
              <w:rPr>
                <w:rFonts w:cs="Arial"/>
                <w:color w:val="0D0D0D"/>
                <w:sz w:val="22"/>
                <w:szCs w:val="22"/>
              </w:rPr>
              <w:t>2028/29</w:t>
            </w:r>
          </w:p>
        </w:tc>
        <w:tc>
          <w:tcPr>
            <w:tcW w:w="2252" w:type="dxa"/>
            <w:tcBorders>
              <w:top w:val="single" w:sz="4" w:space="0" w:color="A6A6A6"/>
              <w:left w:val="single" w:sz="4" w:space="0" w:color="A6A6A6"/>
              <w:bottom w:val="single" w:sz="4" w:space="0" w:color="A6A6A6"/>
              <w:right w:val="single" w:sz="4" w:space="0" w:color="A6A6A6"/>
            </w:tcBorders>
            <w:hideMark/>
          </w:tcPr>
          <w:p w14:paraId="2D83E83D" w14:textId="77777777" w:rsidR="00E24887" w:rsidRPr="00E24887" w:rsidRDefault="00E24887" w:rsidP="00E24887">
            <w:pPr>
              <w:spacing w:before="120" w:after="120"/>
              <w:jc w:val="center"/>
              <w:cnfStyle w:val="000000000000" w:firstRow="0" w:lastRow="0" w:firstColumn="0" w:lastColumn="0" w:oddVBand="0" w:evenVBand="0" w:oddHBand="0" w:evenHBand="0" w:firstRowFirstColumn="0" w:firstRowLastColumn="0" w:lastRowFirstColumn="0" w:lastRowLastColumn="0"/>
              <w:rPr>
                <w:rFonts w:cs="Arial"/>
                <w:color w:val="0D0D0D"/>
                <w:sz w:val="22"/>
                <w:szCs w:val="22"/>
              </w:rPr>
            </w:pPr>
            <w:r w:rsidRPr="00E24887">
              <w:rPr>
                <w:rFonts w:cs="Arial"/>
                <w:color w:val="0D0D0D"/>
                <w:sz w:val="22"/>
                <w:szCs w:val="22"/>
              </w:rPr>
              <w:t>3.30%</w:t>
            </w:r>
          </w:p>
        </w:tc>
        <w:tc>
          <w:tcPr>
            <w:tcW w:w="2127" w:type="dxa"/>
            <w:tcBorders>
              <w:top w:val="single" w:sz="4" w:space="0" w:color="A6A6A6"/>
              <w:left w:val="single" w:sz="4" w:space="0" w:color="A6A6A6"/>
              <w:bottom w:val="single" w:sz="4" w:space="0" w:color="A6A6A6"/>
              <w:right w:val="single" w:sz="4" w:space="0" w:color="A6A6A6"/>
            </w:tcBorders>
            <w:hideMark/>
          </w:tcPr>
          <w:p w14:paraId="38712D0D" w14:textId="77777777" w:rsidR="00E24887" w:rsidRPr="00E24887" w:rsidRDefault="00E24887" w:rsidP="00E24887">
            <w:pPr>
              <w:spacing w:before="120" w:after="120"/>
              <w:jc w:val="center"/>
              <w:cnfStyle w:val="000000000000" w:firstRow="0" w:lastRow="0" w:firstColumn="0" w:lastColumn="0" w:oddVBand="0" w:evenVBand="0" w:oddHBand="0" w:evenHBand="0" w:firstRowFirstColumn="0" w:firstRowLastColumn="0" w:lastRowFirstColumn="0" w:lastRowLastColumn="0"/>
              <w:rPr>
                <w:rFonts w:cs="Arial"/>
                <w:color w:val="0D0D0D"/>
                <w:sz w:val="22"/>
                <w:szCs w:val="22"/>
              </w:rPr>
            </w:pPr>
            <w:r w:rsidRPr="00E24887">
              <w:rPr>
                <w:rFonts w:cs="Arial"/>
                <w:color w:val="0D0D0D"/>
                <w:sz w:val="22"/>
                <w:szCs w:val="22"/>
              </w:rPr>
              <w:t>3.50%</w:t>
            </w:r>
          </w:p>
        </w:tc>
      </w:tr>
      <w:tr w:rsidR="00E24887" w:rsidRPr="00E24887" w14:paraId="349CBB29" w14:textId="77777777">
        <w:tc>
          <w:tcPr>
            <w:cnfStyle w:val="001000000000" w:firstRow="0" w:lastRow="0" w:firstColumn="1" w:lastColumn="0" w:oddVBand="0" w:evenVBand="0" w:oddHBand="0" w:evenHBand="0" w:firstRowFirstColumn="0" w:firstRowLastColumn="0" w:lastRowFirstColumn="0" w:lastRowLastColumn="0"/>
            <w:tcW w:w="3418" w:type="dxa"/>
            <w:tcBorders>
              <w:top w:val="single" w:sz="4" w:space="0" w:color="A6A6A6"/>
              <w:left w:val="single" w:sz="4" w:space="0" w:color="A6A6A6"/>
              <w:bottom w:val="single" w:sz="4" w:space="0" w:color="A6A6A6"/>
              <w:right w:val="single" w:sz="4" w:space="0" w:color="A6A6A6"/>
            </w:tcBorders>
            <w:hideMark/>
          </w:tcPr>
          <w:p w14:paraId="0FDAC549" w14:textId="77777777" w:rsidR="00E24887" w:rsidRPr="00E24887" w:rsidRDefault="00E24887" w:rsidP="00E24887">
            <w:pPr>
              <w:spacing w:before="120" w:after="120"/>
              <w:jc w:val="center"/>
              <w:rPr>
                <w:rFonts w:cs="Arial"/>
                <w:color w:val="0D0D0D"/>
                <w:sz w:val="22"/>
                <w:szCs w:val="22"/>
              </w:rPr>
            </w:pPr>
            <w:r w:rsidRPr="00E24887">
              <w:rPr>
                <w:rFonts w:cs="Arial"/>
                <w:color w:val="0D0D0D"/>
                <w:sz w:val="22"/>
                <w:szCs w:val="22"/>
              </w:rPr>
              <w:t>2029/30</w:t>
            </w:r>
          </w:p>
        </w:tc>
        <w:tc>
          <w:tcPr>
            <w:tcW w:w="2252" w:type="dxa"/>
            <w:tcBorders>
              <w:top w:val="single" w:sz="4" w:space="0" w:color="A6A6A6"/>
              <w:left w:val="single" w:sz="4" w:space="0" w:color="A6A6A6"/>
              <w:bottom w:val="single" w:sz="4" w:space="0" w:color="A6A6A6"/>
              <w:right w:val="single" w:sz="4" w:space="0" w:color="A6A6A6"/>
            </w:tcBorders>
            <w:hideMark/>
          </w:tcPr>
          <w:p w14:paraId="56CF4614" w14:textId="77777777" w:rsidR="00E24887" w:rsidRPr="00E24887" w:rsidRDefault="00E24887" w:rsidP="00E24887">
            <w:pPr>
              <w:spacing w:before="120" w:after="120"/>
              <w:jc w:val="center"/>
              <w:cnfStyle w:val="000000000000" w:firstRow="0" w:lastRow="0" w:firstColumn="0" w:lastColumn="0" w:oddVBand="0" w:evenVBand="0" w:oddHBand="0" w:evenHBand="0" w:firstRowFirstColumn="0" w:firstRowLastColumn="0" w:lastRowFirstColumn="0" w:lastRowLastColumn="0"/>
              <w:rPr>
                <w:rFonts w:cs="Arial"/>
                <w:color w:val="0D0D0D"/>
                <w:sz w:val="22"/>
                <w:szCs w:val="22"/>
              </w:rPr>
            </w:pPr>
            <w:r w:rsidRPr="00E24887">
              <w:rPr>
                <w:rFonts w:cs="Arial"/>
                <w:color w:val="0D0D0D"/>
                <w:sz w:val="22"/>
                <w:szCs w:val="22"/>
              </w:rPr>
              <w:t>3.50%</w:t>
            </w:r>
          </w:p>
        </w:tc>
        <w:tc>
          <w:tcPr>
            <w:tcW w:w="2127" w:type="dxa"/>
            <w:tcBorders>
              <w:top w:val="single" w:sz="4" w:space="0" w:color="A6A6A6"/>
              <w:left w:val="single" w:sz="4" w:space="0" w:color="A6A6A6"/>
              <w:bottom w:val="single" w:sz="4" w:space="0" w:color="A6A6A6"/>
              <w:right w:val="single" w:sz="4" w:space="0" w:color="A6A6A6"/>
            </w:tcBorders>
            <w:hideMark/>
          </w:tcPr>
          <w:p w14:paraId="68C04ED2" w14:textId="77777777" w:rsidR="00E24887" w:rsidRPr="00E24887" w:rsidRDefault="00E24887" w:rsidP="00E24887">
            <w:pPr>
              <w:spacing w:before="120" w:after="120"/>
              <w:jc w:val="center"/>
              <w:cnfStyle w:val="000000000000" w:firstRow="0" w:lastRow="0" w:firstColumn="0" w:lastColumn="0" w:oddVBand="0" w:evenVBand="0" w:oddHBand="0" w:evenHBand="0" w:firstRowFirstColumn="0" w:firstRowLastColumn="0" w:lastRowFirstColumn="0" w:lastRowLastColumn="0"/>
              <w:rPr>
                <w:rFonts w:cs="Arial"/>
                <w:color w:val="0D0D0D"/>
                <w:sz w:val="22"/>
                <w:szCs w:val="22"/>
              </w:rPr>
            </w:pPr>
            <w:r w:rsidRPr="00E24887">
              <w:rPr>
                <w:rFonts w:cs="Arial"/>
                <w:color w:val="0D0D0D"/>
                <w:sz w:val="22"/>
                <w:szCs w:val="22"/>
              </w:rPr>
              <w:t>3.50%</w:t>
            </w:r>
          </w:p>
        </w:tc>
      </w:tr>
      <w:tr w:rsidR="00E24887" w:rsidRPr="00E24887" w14:paraId="5C17683C" w14:textId="77777777">
        <w:tc>
          <w:tcPr>
            <w:cnfStyle w:val="001000000000" w:firstRow="0" w:lastRow="0" w:firstColumn="1" w:lastColumn="0" w:oddVBand="0" w:evenVBand="0" w:oddHBand="0" w:evenHBand="0" w:firstRowFirstColumn="0" w:firstRowLastColumn="0" w:lastRowFirstColumn="0" w:lastRowLastColumn="0"/>
            <w:tcW w:w="3418" w:type="dxa"/>
            <w:tcBorders>
              <w:top w:val="single" w:sz="4" w:space="0" w:color="A6A6A6"/>
              <w:left w:val="single" w:sz="4" w:space="0" w:color="A6A6A6"/>
              <w:bottom w:val="single" w:sz="4" w:space="0" w:color="A6A6A6"/>
              <w:right w:val="single" w:sz="4" w:space="0" w:color="A6A6A6"/>
            </w:tcBorders>
            <w:hideMark/>
          </w:tcPr>
          <w:p w14:paraId="7BC4EACF" w14:textId="77777777" w:rsidR="00E24887" w:rsidRPr="00E24887" w:rsidRDefault="00E24887" w:rsidP="00E24887">
            <w:pPr>
              <w:spacing w:before="120" w:after="120"/>
              <w:jc w:val="center"/>
              <w:rPr>
                <w:rFonts w:cs="Arial"/>
                <w:color w:val="0D0D0D"/>
                <w:sz w:val="22"/>
                <w:szCs w:val="22"/>
              </w:rPr>
            </w:pPr>
            <w:r w:rsidRPr="00E24887">
              <w:rPr>
                <w:rFonts w:cs="Arial"/>
                <w:color w:val="0D0D0D"/>
                <w:sz w:val="22"/>
                <w:szCs w:val="22"/>
              </w:rPr>
              <w:t>Years 6 to 10</w:t>
            </w:r>
          </w:p>
        </w:tc>
        <w:tc>
          <w:tcPr>
            <w:tcW w:w="2252" w:type="dxa"/>
            <w:tcBorders>
              <w:top w:val="single" w:sz="4" w:space="0" w:color="A6A6A6"/>
              <w:left w:val="single" w:sz="4" w:space="0" w:color="A6A6A6"/>
              <w:bottom w:val="single" w:sz="4" w:space="0" w:color="A6A6A6"/>
              <w:right w:val="single" w:sz="4" w:space="0" w:color="A6A6A6"/>
            </w:tcBorders>
            <w:hideMark/>
          </w:tcPr>
          <w:p w14:paraId="4C70FC03" w14:textId="77777777" w:rsidR="00E24887" w:rsidRPr="00E24887" w:rsidRDefault="00E24887" w:rsidP="00E24887">
            <w:pPr>
              <w:spacing w:before="120" w:after="120"/>
              <w:jc w:val="center"/>
              <w:cnfStyle w:val="000000000000" w:firstRow="0" w:lastRow="0" w:firstColumn="0" w:lastColumn="0" w:oddVBand="0" w:evenVBand="0" w:oddHBand="0" w:evenHBand="0" w:firstRowFirstColumn="0" w:firstRowLastColumn="0" w:lastRowFirstColumn="0" w:lastRowLastColumn="0"/>
              <w:rPr>
                <w:rFonts w:cs="Arial"/>
                <w:color w:val="0D0D0D"/>
                <w:sz w:val="22"/>
                <w:szCs w:val="22"/>
              </w:rPr>
            </w:pPr>
            <w:r w:rsidRPr="00E24887">
              <w:rPr>
                <w:rFonts w:cs="Arial"/>
                <w:color w:val="0D0D0D"/>
                <w:sz w:val="22"/>
                <w:szCs w:val="22"/>
              </w:rPr>
              <w:t>3.50%</w:t>
            </w:r>
          </w:p>
        </w:tc>
        <w:tc>
          <w:tcPr>
            <w:tcW w:w="2127" w:type="dxa"/>
            <w:tcBorders>
              <w:top w:val="single" w:sz="4" w:space="0" w:color="A6A6A6"/>
              <w:left w:val="single" w:sz="4" w:space="0" w:color="A6A6A6"/>
              <w:bottom w:val="single" w:sz="4" w:space="0" w:color="A6A6A6"/>
              <w:right w:val="single" w:sz="4" w:space="0" w:color="A6A6A6"/>
            </w:tcBorders>
            <w:hideMark/>
          </w:tcPr>
          <w:p w14:paraId="2580DFD3" w14:textId="77777777" w:rsidR="00E24887" w:rsidRPr="00E24887" w:rsidRDefault="00E24887" w:rsidP="00E24887">
            <w:pPr>
              <w:spacing w:before="120" w:after="120"/>
              <w:jc w:val="center"/>
              <w:cnfStyle w:val="000000000000" w:firstRow="0" w:lastRow="0" w:firstColumn="0" w:lastColumn="0" w:oddVBand="0" w:evenVBand="0" w:oddHBand="0" w:evenHBand="0" w:firstRowFirstColumn="0" w:firstRowLastColumn="0" w:lastRowFirstColumn="0" w:lastRowLastColumn="0"/>
              <w:rPr>
                <w:rFonts w:cs="Arial"/>
                <w:color w:val="0D0D0D"/>
                <w:sz w:val="22"/>
                <w:szCs w:val="22"/>
              </w:rPr>
            </w:pPr>
            <w:r w:rsidRPr="00E24887">
              <w:rPr>
                <w:rFonts w:cs="Arial"/>
                <w:color w:val="0D0D0D"/>
                <w:sz w:val="22"/>
                <w:szCs w:val="22"/>
              </w:rPr>
              <w:t>3.50%</w:t>
            </w:r>
          </w:p>
        </w:tc>
        <w:bookmarkEnd w:id="9"/>
      </w:tr>
      <w:tr w:rsidR="00E24887" w:rsidRPr="00E24887" w14:paraId="19779CBC" w14:textId="77777777">
        <w:tc>
          <w:tcPr>
            <w:cnfStyle w:val="001000000000" w:firstRow="0" w:lastRow="0" w:firstColumn="1" w:lastColumn="0" w:oddVBand="0" w:evenVBand="0" w:oddHBand="0" w:evenHBand="0" w:firstRowFirstColumn="0" w:firstRowLastColumn="0" w:lastRowFirstColumn="0" w:lastRowLastColumn="0"/>
            <w:tcW w:w="3418" w:type="dxa"/>
            <w:tcBorders>
              <w:top w:val="single" w:sz="4" w:space="0" w:color="A6A6A6"/>
              <w:left w:val="single" w:sz="4" w:space="0" w:color="A6A6A6"/>
              <w:bottom w:val="single" w:sz="4" w:space="0" w:color="A6A6A6"/>
              <w:right w:val="single" w:sz="4" w:space="0" w:color="A6A6A6"/>
            </w:tcBorders>
            <w:hideMark/>
          </w:tcPr>
          <w:p w14:paraId="0906A3B0" w14:textId="77777777" w:rsidR="00E24887" w:rsidRPr="00E24887" w:rsidRDefault="00E24887" w:rsidP="00E24887">
            <w:pPr>
              <w:spacing w:before="120" w:after="120"/>
              <w:jc w:val="center"/>
              <w:rPr>
                <w:rFonts w:cs="Arial"/>
                <w:color w:val="0D0D0D"/>
                <w:sz w:val="22"/>
                <w:szCs w:val="22"/>
              </w:rPr>
            </w:pPr>
            <w:r w:rsidRPr="00E24887">
              <w:rPr>
                <w:rFonts w:cs="Arial"/>
                <w:color w:val="0D0D0D"/>
                <w:sz w:val="22"/>
                <w:szCs w:val="22"/>
              </w:rPr>
              <w:t>Years 10+</w:t>
            </w:r>
          </w:p>
        </w:tc>
        <w:tc>
          <w:tcPr>
            <w:tcW w:w="2252" w:type="dxa"/>
            <w:tcBorders>
              <w:top w:val="single" w:sz="4" w:space="0" w:color="A6A6A6"/>
              <w:left w:val="single" w:sz="4" w:space="0" w:color="A6A6A6"/>
              <w:bottom w:val="single" w:sz="4" w:space="0" w:color="A6A6A6"/>
              <w:right w:val="single" w:sz="4" w:space="0" w:color="A6A6A6"/>
            </w:tcBorders>
            <w:hideMark/>
          </w:tcPr>
          <w:p w14:paraId="5EC23AE7" w14:textId="77777777" w:rsidR="00E24887" w:rsidRPr="00E24887" w:rsidRDefault="00E24887" w:rsidP="00E24887">
            <w:pPr>
              <w:spacing w:before="120" w:after="120"/>
              <w:jc w:val="center"/>
              <w:cnfStyle w:val="000000000000" w:firstRow="0" w:lastRow="0" w:firstColumn="0" w:lastColumn="0" w:oddVBand="0" w:evenVBand="0" w:oddHBand="0" w:evenHBand="0" w:firstRowFirstColumn="0" w:firstRowLastColumn="0" w:lastRowFirstColumn="0" w:lastRowLastColumn="0"/>
              <w:rPr>
                <w:rFonts w:cs="Arial"/>
                <w:color w:val="0D0D0D"/>
                <w:sz w:val="22"/>
                <w:szCs w:val="22"/>
              </w:rPr>
            </w:pPr>
            <w:r w:rsidRPr="00E24887">
              <w:rPr>
                <w:rFonts w:cs="Arial"/>
                <w:color w:val="0D0D0D"/>
                <w:sz w:val="22"/>
                <w:szCs w:val="22"/>
              </w:rPr>
              <w:t>3.50%</w:t>
            </w:r>
          </w:p>
        </w:tc>
        <w:tc>
          <w:tcPr>
            <w:tcW w:w="2127" w:type="dxa"/>
            <w:tcBorders>
              <w:top w:val="single" w:sz="4" w:space="0" w:color="A6A6A6"/>
              <w:left w:val="single" w:sz="4" w:space="0" w:color="A6A6A6"/>
              <w:bottom w:val="single" w:sz="4" w:space="0" w:color="A6A6A6"/>
              <w:right w:val="single" w:sz="4" w:space="0" w:color="A6A6A6"/>
            </w:tcBorders>
            <w:hideMark/>
          </w:tcPr>
          <w:p w14:paraId="5C5A90F3" w14:textId="77777777" w:rsidR="00E24887" w:rsidRPr="00E24887" w:rsidRDefault="00E24887" w:rsidP="00E24887">
            <w:pPr>
              <w:spacing w:before="120" w:after="120"/>
              <w:jc w:val="center"/>
              <w:cnfStyle w:val="000000000000" w:firstRow="0" w:lastRow="0" w:firstColumn="0" w:lastColumn="0" w:oddVBand="0" w:evenVBand="0" w:oddHBand="0" w:evenHBand="0" w:firstRowFirstColumn="0" w:firstRowLastColumn="0" w:lastRowFirstColumn="0" w:lastRowLastColumn="0"/>
              <w:rPr>
                <w:rFonts w:cs="Arial"/>
                <w:color w:val="0D0D0D"/>
                <w:sz w:val="22"/>
                <w:szCs w:val="22"/>
              </w:rPr>
            </w:pPr>
            <w:r w:rsidRPr="00E24887">
              <w:rPr>
                <w:rFonts w:cs="Arial"/>
                <w:color w:val="0D0D0D"/>
                <w:sz w:val="22"/>
                <w:szCs w:val="22"/>
              </w:rPr>
              <w:t>3.50%</w:t>
            </w:r>
          </w:p>
        </w:tc>
      </w:tr>
    </w:tbl>
    <w:p w14:paraId="1CC4A5B3" w14:textId="77777777" w:rsidR="00E24887" w:rsidRPr="00E24887" w:rsidRDefault="00E24887" w:rsidP="00E24887">
      <w:pPr>
        <w:spacing w:before="120" w:after="120"/>
        <w:ind w:left="567"/>
        <w:jc w:val="both"/>
        <w:rPr>
          <w:rFonts w:eastAsia="Arial" w:cs="Arial"/>
          <w:color w:val="0D0D0D"/>
          <w:sz w:val="24"/>
          <w:szCs w:val="24"/>
          <w:lang w:val="en-AU" w:eastAsia="en-US"/>
        </w:rPr>
      </w:pPr>
      <w:r w:rsidRPr="00E24887">
        <w:rPr>
          <w:rFonts w:eastAsia="Arial" w:cs="Arial"/>
          <w:color w:val="0D0D0D"/>
          <w:sz w:val="24"/>
          <w:szCs w:val="24"/>
          <w:lang w:val="en-AU" w:eastAsia="en-US"/>
        </w:rPr>
        <w:t xml:space="preserve">MUFG will continue to monitor economic and market developments as they unfold. Typically, MUFG formally review their forecasts following the quarterly release of the Bank of England’s Monetary Policy Report but will consider our position on an ad hoc basis as required. </w:t>
      </w:r>
    </w:p>
    <w:p w14:paraId="3F158FDB" w14:textId="77777777" w:rsidR="00E24887" w:rsidRPr="00E24887" w:rsidRDefault="00E24887" w:rsidP="00E24887">
      <w:pPr>
        <w:ind w:left="567" w:hanging="567"/>
        <w:jc w:val="both"/>
        <w:rPr>
          <w:rFonts w:eastAsia="Arial" w:cs="Arial"/>
          <w:color w:val="0D0D0D"/>
          <w:sz w:val="24"/>
          <w:szCs w:val="24"/>
          <w:highlight w:val="yellow"/>
          <w:lang w:val="en-AU" w:eastAsia="en-US"/>
        </w:rPr>
      </w:pPr>
    </w:p>
    <w:p w14:paraId="1B5F20AC" w14:textId="77777777" w:rsidR="00E24887" w:rsidRDefault="00E24887" w:rsidP="00C125EF">
      <w:pPr>
        <w:spacing w:before="120" w:after="120"/>
        <w:ind w:left="709"/>
        <w:jc w:val="both"/>
        <w:rPr>
          <w:rFonts w:eastAsia="Arial" w:cs="Arial"/>
          <w:color w:val="000000"/>
          <w:sz w:val="24"/>
          <w:szCs w:val="24"/>
          <w:lang w:val="en-AU"/>
        </w:rPr>
      </w:pPr>
    </w:p>
    <w:p w14:paraId="25540E7D" w14:textId="42FCC5F2" w:rsidR="00854E01" w:rsidRDefault="00854E01" w:rsidP="00640FE6">
      <w:pPr>
        <w:tabs>
          <w:tab w:val="left" w:pos="709"/>
        </w:tabs>
        <w:ind w:left="709" w:hanging="709"/>
        <w:jc w:val="both"/>
        <w:rPr>
          <w:rFonts w:eastAsia="Arial Unicode MS" w:cs="Arial"/>
          <w:color w:val="000000"/>
          <w:sz w:val="24"/>
          <w:szCs w:val="24"/>
        </w:rPr>
      </w:pPr>
      <w:r w:rsidRPr="001533EE">
        <w:rPr>
          <w:rFonts w:cs="Arial"/>
          <w:sz w:val="24"/>
          <w:szCs w:val="24"/>
        </w:rPr>
        <w:lastRenderedPageBreak/>
        <w:t>3.</w:t>
      </w:r>
      <w:r w:rsidR="00E17DB5" w:rsidRPr="001533EE">
        <w:rPr>
          <w:rFonts w:cs="Arial"/>
          <w:sz w:val="24"/>
          <w:szCs w:val="24"/>
        </w:rPr>
        <w:t>3</w:t>
      </w:r>
      <w:r w:rsidRPr="001533EE">
        <w:rPr>
          <w:rFonts w:cs="Arial"/>
          <w:sz w:val="24"/>
          <w:szCs w:val="24"/>
        </w:rPr>
        <w:tab/>
        <w:t xml:space="preserve">In practical terms the policy is to finance capital expenditure by borrowing from the Public Works Loan Board. Whilst individual loans have in the past been linked to the cost of specific capital assets or their useful life span, in future, loans will be taken out over varying periods depending on the perceived relative value of interest rates at the time of borrowing and the need to avoid a distorted loan repayment profile.  </w:t>
      </w:r>
      <w:r w:rsidRPr="001533EE">
        <w:rPr>
          <w:rFonts w:eastAsia="Arial Unicode MS" w:cs="Arial"/>
          <w:color w:val="000000"/>
          <w:sz w:val="24"/>
          <w:szCs w:val="24"/>
        </w:rPr>
        <w:t>To date, all the Authority’s external borrowing is with PWLB.</w:t>
      </w:r>
    </w:p>
    <w:p w14:paraId="49CBEAAD" w14:textId="77777777" w:rsidR="00115282" w:rsidRDefault="00115282" w:rsidP="00640FE6">
      <w:pPr>
        <w:tabs>
          <w:tab w:val="left" w:pos="709"/>
        </w:tabs>
        <w:ind w:left="709" w:hanging="709"/>
        <w:jc w:val="both"/>
        <w:rPr>
          <w:rFonts w:eastAsia="Arial Unicode MS" w:cs="Arial"/>
          <w:color w:val="000000"/>
          <w:sz w:val="24"/>
          <w:szCs w:val="24"/>
        </w:rPr>
      </w:pPr>
    </w:p>
    <w:p w14:paraId="795ADE06" w14:textId="5C323854" w:rsidR="00115282" w:rsidRDefault="00115282" w:rsidP="00115282">
      <w:pPr>
        <w:ind w:left="709" w:right="176" w:hanging="709"/>
        <w:jc w:val="both"/>
        <w:rPr>
          <w:rFonts w:cs="Arial"/>
          <w:sz w:val="24"/>
          <w:szCs w:val="24"/>
          <w:lang w:val="en-US"/>
        </w:rPr>
      </w:pPr>
      <w:r>
        <w:rPr>
          <w:rFonts w:eastAsia="Arial Unicode MS" w:cs="Arial"/>
          <w:color w:val="000000"/>
          <w:sz w:val="24"/>
          <w:szCs w:val="24"/>
        </w:rPr>
        <w:t>3.4</w:t>
      </w:r>
      <w:r>
        <w:rPr>
          <w:rFonts w:eastAsia="Arial Unicode MS" w:cs="Arial"/>
          <w:color w:val="000000"/>
          <w:sz w:val="24"/>
          <w:szCs w:val="24"/>
        </w:rPr>
        <w:tab/>
        <w:t xml:space="preserve">The Authority plans to borrow only to fund Estates capital expenditure from 2026/27 onwards, all other expenditure being funded from the Capital reserve built up from </w:t>
      </w:r>
      <w:r w:rsidRPr="001533EE">
        <w:rPr>
          <w:rFonts w:cs="Arial"/>
          <w:sz w:val="24"/>
          <w:szCs w:val="24"/>
          <w:lang w:val="en-US"/>
        </w:rPr>
        <w:t>amounts set aside from the revenue budget</w:t>
      </w:r>
      <w:r>
        <w:rPr>
          <w:rFonts w:cs="Arial"/>
          <w:sz w:val="24"/>
          <w:szCs w:val="24"/>
          <w:lang w:val="en-US"/>
        </w:rPr>
        <w:t>.</w:t>
      </w:r>
    </w:p>
    <w:p w14:paraId="0C950F07" w14:textId="77777777" w:rsidR="00115282" w:rsidRDefault="00115282" w:rsidP="00115282">
      <w:pPr>
        <w:ind w:left="709" w:right="176" w:hanging="709"/>
        <w:jc w:val="both"/>
        <w:rPr>
          <w:rFonts w:cs="Arial"/>
          <w:sz w:val="24"/>
          <w:szCs w:val="24"/>
          <w:lang w:val="en-US"/>
        </w:rPr>
      </w:pPr>
    </w:p>
    <w:p w14:paraId="7C0362DF" w14:textId="5C2F8192" w:rsidR="00854E01" w:rsidRPr="00115282" w:rsidRDefault="00115282" w:rsidP="00115282">
      <w:pPr>
        <w:ind w:left="709" w:right="176" w:hanging="709"/>
        <w:jc w:val="both"/>
        <w:rPr>
          <w:rFonts w:cs="Arial"/>
          <w:sz w:val="24"/>
          <w:szCs w:val="24"/>
          <w:lang w:val="en-US"/>
        </w:rPr>
      </w:pPr>
      <w:r>
        <w:rPr>
          <w:rFonts w:cs="Arial"/>
          <w:sz w:val="24"/>
          <w:szCs w:val="24"/>
          <w:lang w:val="en-US"/>
        </w:rPr>
        <w:t>3.5</w:t>
      </w:r>
      <w:r>
        <w:rPr>
          <w:rFonts w:cs="Arial"/>
          <w:sz w:val="24"/>
          <w:szCs w:val="24"/>
          <w:lang w:val="en-US"/>
        </w:rPr>
        <w:tab/>
      </w:r>
      <w:r w:rsidR="001450CF">
        <w:rPr>
          <w:rFonts w:cs="Arial"/>
          <w:sz w:val="24"/>
          <w:szCs w:val="24"/>
        </w:rPr>
        <w:t xml:space="preserve">A </w:t>
      </w:r>
      <w:r w:rsidR="00854E01" w:rsidRPr="001533EE">
        <w:rPr>
          <w:rFonts w:cs="Arial"/>
          <w:sz w:val="24"/>
          <w:szCs w:val="24"/>
        </w:rPr>
        <w:t>principal factor in increases in revenue costs relate to</w:t>
      </w:r>
      <w:r w:rsidR="00854E01" w:rsidRPr="001533EE">
        <w:rPr>
          <w:rFonts w:cs="Arial"/>
          <w:color w:val="FF6600"/>
          <w:sz w:val="24"/>
          <w:szCs w:val="24"/>
        </w:rPr>
        <w:t xml:space="preserve"> </w:t>
      </w:r>
      <w:r w:rsidR="00854E01" w:rsidRPr="001533EE">
        <w:rPr>
          <w:rFonts w:cs="Arial"/>
          <w:sz w:val="24"/>
          <w:szCs w:val="24"/>
        </w:rPr>
        <w:t>Capital Financing charges. The provision for debt repayment (otherwise known as the Minimum Revenue Provision or MRP) is a statutory calculation, whilst external interest payments are due under loan agreements with external borrowers. These sums are the product of past and future assumed borrowing.</w:t>
      </w:r>
    </w:p>
    <w:p w14:paraId="46500D21" w14:textId="77777777" w:rsidR="0059367F" w:rsidRPr="001533EE" w:rsidRDefault="0059367F" w:rsidP="00E17DB5">
      <w:pPr>
        <w:jc w:val="both"/>
        <w:rPr>
          <w:rFonts w:eastAsia="Calibri" w:cs="Arial"/>
          <w:sz w:val="24"/>
          <w:szCs w:val="24"/>
          <w:lang w:val="en-AU"/>
        </w:rPr>
      </w:pPr>
    </w:p>
    <w:p w14:paraId="489A7A3B" w14:textId="32C48C54" w:rsidR="007564E8" w:rsidRPr="001533EE" w:rsidRDefault="00E17DB5" w:rsidP="007564E8">
      <w:pPr>
        <w:ind w:left="709" w:hanging="709"/>
        <w:jc w:val="both"/>
        <w:rPr>
          <w:rFonts w:cs="Arial"/>
          <w:b/>
          <w:sz w:val="24"/>
          <w:szCs w:val="24"/>
        </w:rPr>
      </w:pPr>
      <w:r w:rsidRPr="001533EE">
        <w:rPr>
          <w:rFonts w:eastAsia="Calibri" w:cs="Arial"/>
          <w:sz w:val="24"/>
          <w:szCs w:val="24"/>
          <w:lang w:val="en-AU"/>
        </w:rPr>
        <w:t>3.</w:t>
      </w:r>
      <w:r w:rsidR="00115282">
        <w:rPr>
          <w:rFonts w:eastAsia="Calibri" w:cs="Arial"/>
          <w:sz w:val="24"/>
          <w:szCs w:val="24"/>
          <w:lang w:val="en-AU"/>
        </w:rPr>
        <w:t>6</w:t>
      </w:r>
      <w:r w:rsidRPr="001533EE">
        <w:rPr>
          <w:rFonts w:eastAsia="Calibri" w:cs="Arial"/>
          <w:sz w:val="24"/>
          <w:szCs w:val="24"/>
          <w:lang w:val="en-AU"/>
        </w:rPr>
        <w:tab/>
      </w:r>
      <w:r w:rsidR="00854E01" w:rsidRPr="001533EE">
        <w:rPr>
          <w:rFonts w:cs="Arial"/>
          <w:b/>
          <w:sz w:val="24"/>
          <w:szCs w:val="24"/>
        </w:rPr>
        <w:t>External v Internal Borrowing</w:t>
      </w:r>
    </w:p>
    <w:p w14:paraId="2AA3ED0E" w14:textId="77777777" w:rsidR="00854E01" w:rsidRPr="001533EE" w:rsidRDefault="00854E01" w:rsidP="00854E01">
      <w:pPr>
        <w:ind w:left="720" w:hanging="11"/>
        <w:jc w:val="both"/>
        <w:rPr>
          <w:rFonts w:cs="Arial"/>
          <w:b/>
          <w:sz w:val="24"/>
          <w:szCs w:val="24"/>
        </w:rPr>
      </w:pPr>
    </w:p>
    <w:p w14:paraId="6DC9FAC4" w14:textId="4A3333D9" w:rsidR="00854E01" w:rsidRPr="001533EE" w:rsidRDefault="00B30F7D" w:rsidP="00E17DB5">
      <w:pPr>
        <w:ind w:left="709"/>
        <w:jc w:val="both"/>
        <w:rPr>
          <w:rFonts w:cs="Arial"/>
          <w:sz w:val="24"/>
          <w:szCs w:val="24"/>
        </w:rPr>
      </w:pPr>
      <w:r>
        <w:rPr>
          <w:rFonts w:cs="Arial"/>
          <w:sz w:val="24"/>
          <w:szCs w:val="24"/>
        </w:rPr>
        <w:t>The option of internal borrowing</w:t>
      </w:r>
      <w:r w:rsidR="00854E01" w:rsidRPr="001533EE">
        <w:rPr>
          <w:rFonts w:cs="Arial"/>
          <w:sz w:val="24"/>
          <w:szCs w:val="24"/>
        </w:rPr>
        <w:t xml:space="preserve"> is possible </w:t>
      </w:r>
      <w:r>
        <w:rPr>
          <w:rFonts w:cs="Arial"/>
          <w:sz w:val="24"/>
          <w:szCs w:val="24"/>
        </w:rPr>
        <w:t xml:space="preserve">due to the levels of current cash balances which consist </w:t>
      </w:r>
      <w:r w:rsidR="00854E01" w:rsidRPr="001533EE">
        <w:rPr>
          <w:rFonts w:cs="Arial"/>
          <w:sz w:val="24"/>
          <w:szCs w:val="24"/>
        </w:rPr>
        <w:t>of cash flow generated from creditors</w:t>
      </w:r>
      <w:r>
        <w:rPr>
          <w:rFonts w:cs="Arial"/>
          <w:sz w:val="24"/>
          <w:szCs w:val="24"/>
        </w:rPr>
        <w:t xml:space="preserve"> and grants (including host authority monies)</w:t>
      </w:r>
      <w:r w:rsidR="00854E01" w:rsidRPr="001533EE">
        <w:rPr>
          <w:rFonts w:cs="Arial"/>
          <w:sz w:val="24"/>
          <w:szCs w:val="24"/>
        </w:rPr>
        <w:t>, core cash (via reserves and provisions)</w:t>
      </w:r>
      <w:r>
        <w:rPr>
          <w:rFonts w:cs="Arial"/>
          <w:sz w:val="24"/>
          <w:szCs w:val="24"/>
        </w:rPr>
        <w:t xml:space="preserve">, </w:t>
      </w:r>
      <w:r w:rsidR="00854E01" w:rsidRPr="001533EE">
        <w:rPr>
          <w:rFonts w:cs="Arial"/>
          <w:sz w:val="24"/>
          <w:szCs w:val="24"/>
        </w:rPr>
        <w:t>and cash built up through minimum revenue provision due to most debt outstanding being on a maturity basis. Repayment of maturing debt of £</w:t>
      </w:r>
      <w:r w:rsidR="00A21058">
        <w:rPr>
          <w:rFonts w:cs="Arial"/>
          <w:sz w:val="24"/>
          <w:szCs w:val="24"/>
        </w:rPr>
        <w:t>0.</w:t>
      </w:r>
      <w:r>
        <w:rPr>
          <w:rFonts w:cs="Arial"/>
          <w:sz w:val="24"/>
          <w:szCs w:val="24"/>
        </w:rPr>
        <w:t>4</w:t>
      </w:r>
      <w:r w:rsidR="00FA54BE" w:rsidRPr="001533EE">
        <w:rPr>
          <w:rFonts w:cs="Arial"/>
          <w:sz w:val="24"/>
          <w:szCs w:val="24"/>
        </w:rPr>
        <w:t xml:space="preserve">m </w:t>
      </w:r>
      <w:r w:rsidR="00A21058">
        <w:rPr>
          <w:rFonts w:cs="Arial"/>
          <w:sz w:val="24"/>
          <w:szCs w:val="24"/>
        </w:rPr>
        <w:t xml:space="preserve">will be </w:t>
      </w:r>
      <w:r w:rsidR="00FA54BE" w:rsidRPr="001533EE">
        <w:rPr>
          <w:rFonts w:cs="Arial"/>
          <w:sz w:val="24"/>
          <w:szCs w:val="24"/>
        </w:rPr>
        <w:t xml:space="preserve">made during </w:t>
      </w:r>
      <w:r w:rsidR="00854E01" w:rsidRPr="001533EE">
        <w:rPr>
          <w:rFonts w:cs="Arial"/>
          <w:sz w:val="24"/>
          <w:szCs w:val="24"/>
        </w:rPr>
        <w:t>202</w:t>
      </w:r>
      <w:r>
        <w:rPr>
          <w:rFonts w:cs="Arial"/>
          <w:sz w:val="24"/>
          <w:szCs w:val="24"/>
        </w:rPr>
        <w:t>5</w:t>
      </w:r>
      <w:r w:rsidR="00854E01" w:rsidRPr="001533EE">
        <w:rPr>
          <w:rFonts w:cs="Arial"/>
          <w:sz w:val="24"/>
          <w:szCs w:val="24"/>
        </w:rPr>
        <w:t>/2</w:t>
      </w:r>
      <w:r>
        <w:rPr>
          <w:rFonts w:cs="Arial"/>
          <w:sz w:val="24"/>
          <w:szCs w:val="24"/>
        </w:rPr>
        <w:t>6</w:t>
      </w:r>
      <w:r w:rsidR="00854E01" w:rsidRPr="001533EE">
        <w:rPr>
          <w:rFonts w:cs="Arial"/>
          <w:sz w:val="24"/>
          <w:szCs w:val="24"/>
        </w:rPr>
        <w:t xml:space="preserve">. </w:t>
      </w:r>
    </w:p>
    <w:p w14:paraId="188D5FE5" w14:textId="77777777" w:rsidR="007564E8" w:rsidRPr="001533EE" w:rsidRDefault="007564E8" w:rsidP="00405D6E">
      <w:pPr>
        <w:pStyle w:val="ListParagraph"/>
        <w:ind w:left="0"/>
        <w:rPr>
          <w:rFonts w:cs="Arial"/>
          <w:i/>
          <w:iCs/>
          <w:sz w:val="24"/>
          <w:szCs w:val="24"/>
        </w:rPr>
      </w:pPr>
    </w:p>
    <w:p w14:paraId="7A992467" w14:textId="191A861C" w:rsidR="007564E8" w:rsidRPr="001533EE" w:rsidRDefault="00405D6E" w:rsidP="007564E8">
      <w:pPr>
        <w:tabs>
          <w:tab w:val="left" w:pos="709"/>
        </w:tabs>
        <w:rPr>
          <w:rFonts w:cs="Arial"/>
          <w:b/>
          <w:sz w:val="24"/>
          <w:szCs w:val="24"/>
        </w:rPr>
      </w:pPr>
      <w:r w:rsidRPr="001533EE">
        <w:rPr>
          <w:rFonts w:cs="Arial"/>
          <w:bCs/>
          <w:sz w:val="24"/>
          <w:szCs w:val="24"/>
        </w:rPr>
        <w:tab/>
      </w:r>
      <w:r w:rsidR="007564E8" w:rsidRPr="00786C9C">
        <w:rPr>
          <w:rFonts w:cs="Arial"/>
          <w:b/>
          <w:sz w:val="24"/>
          <w:szCs w:val="24"/>
        </w:rPr>
        <w:t>Liability Benchmark</w:t>
      </w:r>
    </w:p>
    <w:p w14:paraId="60167BAD" w14:textId="77777777" w:rsidR="007564E8" w:rsidRPr="001533EE" w:rsidRDefault="007564E8" w:rsidP="007564E8">
      <w:pPr>
        <w:ind w:left="720"/>
        <w:rPr>
          <w:rFonts w:cs="Arial"/>
          <w:b/>
          <w:sz w:val="24"/>
          <w:szCs w:val="24"/>
        </w:rPr>
      </w:pPr>
    </w:p>
    <w:p w14:paraId="59938A37" w14:textId="01514CB6" w:rsidR="007564E8" w:rsidRPr="001533EE" w:rsidRDefault="007564E8" w:rsidP="007564E8">
      <w:pPr>
        <w:ind w:left="709"/>
        <w:jc w:val="both"/>
        <w:rPr>
          <w:rFonts w:cs="Arial"/>
          <w:sz w:val="24"/>
          <w:szCs w:val="24"/>
        </w:rPr>
      </w:pPr>
      <w:r w:rsidRPr="001533EE">
        <w:rPr>
          <w:rFonts w:cs="Arial"/>
          <w:sz w:val="24"/>
          <w:szCs w:val="24"/>
        </w:rPr>
        <w:t xml:space="preserve">The Authority is required to estimate and measure the Liability Benchmark for the forthcoming financial year and the following two financial years, as a minimum. </w:t>
      </w:r>
    </w:p>
    <w:p w14:paraId="6B6448FF" w14:textId="77777777" w:rsidR="007564E8" w:rsidRPr="001533EE" w:rsidRDefault="007564E8" w:rsidP="007564E8">
      <w:pPr>
        <w:ind w:left="142" w:firstLine="567"/>
        <w:jc w:val="both"/>
        <w:rPr>
          <w:rFonts w:cs="Arial"/>
          <w:sz w:val="24"/>
          <w:szCs w:val="24"/>
        </w:rPr>
      </w:pPr>
    </w:p>
    <w:p w14:paraId="4E2C3A1A" w14:textId="17E29B16" w:rsidR="007564E8" w:rsidRPr="001533EE" w:rsidRDefault="007564E8" w:rsidP="007564E8">
      <w:pPr>
        <w:ind w:left="142" w:firstLine="567"/>
        <w:jc w:val="both"/>
        <w:rPr>
          <w:rFonts w:cs="Arial"/>
          <w:sz w:val="24"/>
          <w:szCs w:val="24"/>
        </w:rPr>
      </w:pPr>
      <w:r w:rsidRPr="001533EE">
        <w:rPr>
          <w:rFonts w:cs="Arial"/>
          <w:sz w:val="24"/>
          <w:szCs w:val="24"/>
        </w:rPr>
        <w:t xml:space="preserve">There are four components to the Liability Benchmark: </w:t>
      </w:r>
    </w:p>
    <w:p w14:paraId="11BDDF99" w14:textId="77777777" w:rsidR="007564E8" w:rsidRPr="001533EE" w:rsidRDefault="007564E8" w:rsidP="007564E8">
      <w:pPr>
        <w:ind w:left="567" w:firstLine="3"/>
        <w:jc w:val="both"/>
        <w:rPr>
          <w:rFonts w:cs="Arial"/>
          <w:sz w:val="24"/>
          <w:szCs w:val="24"/>
        </w:rPr>
      </w:pPr>
    </w:p>
    <w:p w14:paraId="3C37B67E" w14:textId="77777777" w:rsidR="007564E8" w:rsidRDefault="007564E8" w:rsidP="006A2F03">
      <w:pPr>
        <w:pStyle w:val="ListParagraph"/>
        <w:numPr>
          <w:ilvl w:val="0"/>
          <w:numId w:val="11"/>
        </w:numPr>
        <w:jc w:val="both"/>
        <w:rPr>
          <w:rFonts w:cs="Arial"/>
          <w:sz w:val="24"/>
          <w:szCs w:val="24"/>
        </w:rPr>
      </w:pPr>
      <w:r w:rsidRPr="008937B5">
        <w:rPr>
          <w:rFonts w:cs="Arial"/>
          <w:b/>
          <w:bCs/>
          <w:sz w:val="24"/>
          <w:szCs w:val="24"/>
        </w:rPr>
        <w:t>Existing loan debt outstanding</w:t>
      </w:r>
      <w:r w:rsidRPr="008937B5">
        <w:rPr>
          <w:rFonts w:cs="Arial"/>
          <w:sz w:val="24"/>
          <w:szCs w:val="24"/>
        </w:rPr>
        <w:t xml:space="preserve">: the Authority’s existing loans that are still outstanding in future years.  </w:t>
      </w:r>
    </w:p>
    <w:p w14:paraId="65137883" w14:textId="77777777" w:rsidR="008937B5" w:rsidRDefault="008937B5" w:rsidP="008937B5">
      <w:pPr>
        <w:pStyle w:val="ListParagraph"/>
        <w:ind w:left="1440"/>
        <w:jc w:val="both"/>
        <w:rPr>
          <w:rFonts w:cs="Arial"/>
          <w:sz w:val="24"/>
          <w:szCs w:val="24"/>
        </w:rPr>
      </w:pPr>
    </w:p>
    <w:p w14:paraId="5B7E30C1" w14:textId="77777777" w:rsidR="007564E8" w:rsidRDefault="007564E8" w:rsidP="006A2F03">
      <w:pPr>
        <w:pStyle w:val="ListParagraph"/>
        <w:numPr>
          <w:ilvl w:val="0"/>
          <w:numId w:val="11"/>
        </w:numPr>
        <w:jc w:val="both"/>
        <w:rPr>
          <w:rFonts w:cs="Arial"/>
          <w:sz w:val="24"/>
          <w:szCs w:val="24"/>
        </w:rPr>
      </w:pPr>
      <w:r w:rsidRPr="008937B5">
        <w:rPr>
          <w:rFonts w:cs="Arial"/>
          <w:b/>
          <w:bCs/>
          <w:sz w:val="24"/>
          <w:szCs w:val="24"/>
        </w:rPr>
        <w:t>Loans CFR</w:t>
      </w:r>
      <w:r w:rsidRPr="008937B5">
        <w:rPr>
          <w:rFonts w:cs="Arial"/>
          <w:sz w:val="24"/>
          <w:szCs w:val="24"/>
        </w:rPr>
        <w:t>: this is calculated in accordance with the loans CFR definition in the Prudential Code and projected into the future based on approved prudential borrowing and planned MRP.  With only approved prudential borrowing being included in the calculation, the Loans CFR will peak after four years where the other inputs are projected forward for 50 years+.</w:t>
      </w:r>
    </w:p>
    <w:p w14:paraId="00036ACC" w14:textId="77777777" w:rsidR="008937B5" w:rsidRPr="008937B5" w:rsidRDefault="008937B5" w:rsidP="008937B5">
      <w:pPr>
        <w:pStyle w:val="ListParagraph"/>
        <w:rPr>
          <w:rFonts w:cs="Arial"/>
          <w:sz w:val="24"/>
          <w:szCs w:val="24"/>
        </w:rPr>
      </w:pPr>
    </w:p>
    <w:p w14:paraId="7CB23CB7" w14:textId="4476A2F0" w:rsidR="007564E8" w:rsidRDefault="007564E8" w:rsidP="006A2F03">
      <w:pPr>
        <w:pStyle w:val="ListParagraph"/>
        <w:numPr>
          <w:ilvl w:val="0"/>
          <w:numId w:val="11"/>
        </w:numPr>
        <w:jc w:val="both"/>
        <w:rPr>
          <w:rFonts w:cs="Arial"/>
          <w:sz w:val="24"/>
          <w:szCs w:val="24"/>
        </w:rPr>
      </w:pPr>
      <w:r w:rsidRPr="008937B5">
        <w:rPr>
          <w:rFonts w:cs="Arial"/>
          <w:b/>
          <w:bCs/>
          <w:sz w:val="24"/>
          <w:szCs w:val="24"/>
        </w:rPr>
        <w:t>Net loans requirement</w:t>
      </w:r>
      <w:r w:rsidRPr="008937B5">
        <w:rPr>
          <w:rFonts w:cs="Arial"/>
          <w:sz w:val="24"/>
          <w:szCs w:val="24"/>
        </w:rPr>
        <w:t xml:space="preserve">: this will show the </w:t>
      </w:r>
      <w:r w:rsidR="001C4555" w:rsidRPr="008937B5">
        <w:rPr>
          <w:rFonts w:cs="Arial"/>
          <w:sz w:val="24"/>
          <w:szCs w:val="24"/>
        </w:rPr>
        <w:t>Authority</w:t>
      </w:r>
      <w:r w:rsidRPr="008937B5">
        <w:rPr>
          <w:rFonts w:cs="Arial"/>
          <w:sz w:val="24"/>
          <w:szCs w:val="24"/>
        </w:rPr>
        <w:t xml:space="preserve">’s gross loan debt less treasury management investments at the last financial year-end, projected into the future and based on its approved prudential borrowing, planned MRP and any other major cash flows forecast. </w:t>
      </w:r>
    </w:p>
    <w:p w14:paraId="42C6A8B4" w14:textId="77777777" w:rsidR="008937B5" w:rsidRPr="008937B5" w:rsidRDefault="008937B5" w:rsidP="008937B5">
      <w:pPr>
        <w:pStyle w:val="ListParagraph"/>
        <w:rPr>
          <w:rFonts w:cs="Arial"/>
          <w:sz w:val="24"/>
          <w:szCs w:val="24"/>
        </w:rPr>
      </w:pPr>
    </w:p>
    <w:p w14:paraId="02CDD4F4" w14:textId="05142CFB" w:rsidR="007564E8" w:rsidRPr="008937B5" w:rsidRDefault="007564E8" w:rsidP="006A2F03">
      <w:pPr>
        <w:pStyle w:val="ListParagraph"/>
        <w:numPr>
          <w:ilvl w:val="0"/>
          <w:numId w:val="11"/>
        </w:numPr>
        <w:jc w:val="both"/>
        <w:rPr>
          <w:rFonts w:cs="Arial"/>
          <w:sz w:val="24"/>
          <w:szCs w:val="24"/>
        </w:rPr>
      </w:pPr>
      <w:r w:rsidRPr="008937B5">
        <w:rPr>
          <w:rFonts w:cs="Arial"/>
          <w:b/>
          <w:bCs/>
          <w:sz w:val="24"/>
          <w:szCs w:val="24"/>
          <w:lang w:eastAsia="en-US"/>
        </w:rPr>
        <w:t>Liability benchmark (or gross loans requirement):</w:t>
      </w:r>
      <w:r w:rsidRPr="008937B5">
        <w:rPr>
          <w:rFonts w:cs="Arial"/>
          <w:bCs/>
          <w:sz w:val="24"/>
          <w:szCs w:val="24"/>
          <w:lang w:eastAsia="en-US"/>
        </w:rPr>
        <w:t xml:space="preserve"> this equals net loans </w:t>
      </w:r>
      <w:r w:rsidR="00115282" w:rsidRPr="008937B5">
        <w:rPr>
          <w:rFonts w:cs="Arial"/>
          <w:bCs/>
          <w:sz w:val="24"/>
          <w:szCs w:val="24"/>
          <w:lang w:eastAsia="en-US"/>
        </w:rPr>
        <w:t xml:space="preserve">  </w:t>
      </w:r>
      <w:r w:rsidRPr="008937B5">
        <w:rPr>
          <w:rFonts w:cs="Arial"/>
          <w:bCs/>
          <w:sz w:val="24"/>
          <w:szCs w:val="24"/>
          <w:lang w:eastAsia="en-US"/>
        </w:rPr>
        <w:t xml:space="preserve">requirement plus short-term liquidity allowance.  The short-term liquidity allowance is an adequate (but not excessive) allowance for a level of excess cash to be invested short-term to provide access to liquidity if needed due to short-term cash flow variations. </w:t>
      </w:r>
    </w:p>
    <w:p w14:paraId="4D9A3210" w14:textId="77777777" w:rsidR="00A21058" w:rsidRDefault="00A21058" w:rsidP="00A21058">
      <w:pPr>
        <w:pStyle w:val="ListParagraph"/>
        <w:rPr>
          <w:rFonts w:cs="Arial"/>
          <w:sz w:val="24"/>
          <w:szCs w:val="24"/>
        </w:rPr>
      </w:pPr>
    </w:p>
    <w:p w14:paraId="2D6F5981" w14:textId="3A006B97" w:rsidR="007564E8" w:rsidRPr="00FC7E4B" w:rsidRDefault="007564E8" w:rsidP="00A21058">
      <w:pPr>
        <w:ind w:left="709"/>
        <w:jc w:val="both"/>
        <w:rPr>
          <w:rFonts w:cs="Arial"/>
          <w:color w:val="FF0000"/>
          <w:sz w:val="24"/>
          <w:szCs w:val="24"/>
        </w:rPr>
      </w:pPr>
      <w:r w:rsidRPr="00A21058">
        <w:rPr>
          <w:rFonts w:cs="Arial"/>
          <w:sz w:val="24"/>
          <w:szCs w:val="24"/>
        </w:rPr>
        <w:lastRenderedPageBreak/>
        <w:t xml:space="preserve">In its simplest form, it is calculated by deducting the </w:t>
      </w:r>
      <w:proofErr w:type="gramStart"/>
      <w:r w:rsidRPr="00A21058">
        <w:rPr>
          <w:rFonts w:cs="Arial"/>
          <w:sz w:val="24"/>
          <w:szCs w:val="24"/>
        </w:rPr>
        <w:t>amount</w:t>
      </w:r>
      <w:proofErr w:type="gramEnd"/>
      <w:r w:rsidRPr="00A21058">
        <w:rPr>
          <w:rFonts w:cs="Arial"/>
          <w:sz w:val="24"/>
          <w:szCs w:val="24"/>
        </w:rPr>
        <w:t xml:space="preserve"> of investable resources available on the balance sheet (reserves and cash flow balances) from the amount of outstanding external debt and then adding the minimum level of investments required to manage day to day cash flow. CIPFA recommends that the optimum position for external borrowing should be at the level of the liability benchmark (i.e. all balance sheet resources should be used to maximise internal borrowing).</w:t>
      </w:r>
      <w:r w:rsidR="00FC7E4B">
        <w:rPr>
          <w:rFonts w:cs="Arial"/>
          <w:sz w:val="24"/>
          <w:szCs w:val="24"/>
        </w:rPr>
        <w:t xml:space="preserve"> </w:t>
      </w:r>
    </w:p>
    <w:p w14:paraId="00561FED" w14:textId="031384D8" w:rsidR="003D1040" w:rsidRDefault="003D1040" w:rsidP="007564E8">
      <w:pPr>
        <w:ind w:left="1134"/>
        <w:jc w:val="both"/>
        <w:rPr>
          <w:rFonts w:cs="Arial"/>
          <w:sz w:val="24"/>
          <w:szCs w:val="24"/>
        </w:rPr>
      </w:pPr>
    </w:p>
    <w:p w14:paraId="14D858E7" w14:textId="11B65616" w:rsidR="00A21058" w:rsidRPr="001533EE" w:rsidRDefault="00C762C0" w:rsidP="00A21058">
      <w:pPr>
        <w:ind w:left="709"/>
        <w:jc w:val="both"/>
        <w:rPr>
          <w:rFonts w:cs="Arial"/>
          <w:sz w:val="24"/>
          <w:szCs w:val="24"/>
        </w:rPr>
      </w:pPr>
      <w:r>
        <w:rPr>
          <w:rFonts w:cs="Arial"/>
          <w:noProof/>
          <w:sz w:val="24"/>
          <w:szCs w:val="24"/>
        </w:rPr>
        <w:drawing>
          <wp:inline distT="0" distB="0" distL="0" distR="0" wp14:anchorId="54E1F2D7" wp14:editId="1ED94EF2">
            <wp:extent cx="5480685" cy="5102860"/>
            <wp:effectExtent l="0" t="0" r="5715" b="2540"/>
            <wp:docPr id="21313826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80685" cy="5102860"/>
                    </a:xfrm>
                    <a:prstGeom prst="rect">
                      <a:avLst/>
                    </a:prstGeom>
                    <a:noFill/>
                  </pic:spPr>
                </pic:pic>
              </a:graphicData>
            </a:graphic>
          </wp:inline>
        </w:drawing>
      </w:r>
    </w:p>
    <w:p w14:paraId="63488649" w14:textId="77777777" w:rsidR="00A21058" w:rsidRDefault="00A21058" w:rsidP="00A21058">
      <w:pPr>
        <w:jc w:val="both"/>
        <w:rPr>
          <w:rFonts w:cs="Arial"/>
          <w:bCs/>
          <w:sz w:val="24"/>
          <w:szCs w:val="24"/>
        </w:rPr>
      </w:pPr>
    </w:p>
    <w:p w14:paraId="24D67D23" w14:textId="6308CA5F" w:rsidR="007564E8" w:rsidRPr="001533EE" w:rsidRDefault="007564E8" w:rsidP="007564E8">
      <w:pPr>
        <w:ind w:left="709"/>
        <w:jc w:val="both"/>
        <w:rPr>
          <w:rFonts w:cs="Arial"/>
          <w:sz w:val="24"/>
          <w:szCs w:val="24"/>
        </w:rPr>
      </w:pPr>
      <w:r w:rsidRPr="001533EE">
        <w:rPr>
          <w:rFonts w:cs="Arial"/>
          <w:bCs/>
          <w:sz w:val="24"/>
          <w:szCs w:val="24"/>
        </w:rPr>
        <w:t xml:space="preserve">There are many factors to consider when calculating the benchmark and in practical terms borrowing is taken in line with need considering cash balances at various points throughout the year. </w:t>
      </w:r>
      <w:r w:rsidRPr="001533EE">
        <w:rPr>
          <w:rFonts w:cs="Arial"/>
          <w:sz w:val="24"/>
          <w:szCs w:val="24"/>
        </w:rPr>
        <w:t>To align with the revised 2021 Treasury Management Code, the Authority will consider the need for further borrowing against short term investments, the cash flow forecast and the liquidity requirements of the Authority. Liquidity forecasts need to be carefully reviewed to avoid incurring higher borrowing costs in the future when the Authority may not be able to avoid new borrowing to finance capital expenditure and/or the refinancing of maturing debt.</w:t>
      </w:r>
    </w:p>
    <w:p w14:paraId="538B7FAE" w14:textId="77777777" w:rsidR="007564E8" w:rsidRPr="001533EE" w:rsidRDefault="007564E8" w:rsidP="007564E8">
      <w:pPr>
        <w:ind w:left="709"/>
        <w:jc w:val="both"/>
        <w:rPr>
          <w:rFonts w:cs="Arial"/>
          <w:sz w:val="24"/>
          <w:szCs w:val="24"/>
        </w:rPr>
      </w:pPr>
    </w:p>
    <w:p w14:paraId="29AE197E" w14:textId="05900A79" w:rsidR="007564E8" w:rsidRPr="001533EE" w:rsidRDefault="007564E8" w:rsidP="007564E8">
      <w:pPr>
        <w:ind w:left="709"/>
        <w:jc w:val="both"/>
        <w:rPr>
          <w:rFonts w:cs="Arial"/>
          <w:sz w:val="24"/>
          <w:szCs w:val="24"/>
        </w:rPr>
      </w:pPr>
      <w:r w:rsidRPr="001533EE">
        <w:rPr>
          <w:rFonts w:cs="Arial"/>
          <w:sz w:val="24"/>
          <w:szCs w:val="24"/>
        </w:rPr>
        <w:t>Against this background and the risks within the economic forecast, caution will be adopted with the 202</w:t>
      </w:r>
      <w:r w:rsidR="00A21058">
        <w:rPr>
          <w:rFonts w:cs="Arial"/>
          <w:sz w:val="24"/>
          <w:szCs w:val="24"/>
        </w:rPr>
        <w:t>5</w:t>
      </w:r>
      <w:r w:rsidRPr="001533EE">
        <w:rPr>
          <w:rFonts w:cs="Arial"/>
          <w:sz w:val="24"/>
          <w:szCs w:val="24"/>
        </w:rPr>
        <w:t>/2</w:t>
      </w:r>
      <w:r w:rsidR="00A21058">
        <w:rPr>
          <w:rFonts w:cs="Arial"/>
          <w:sz w:val="24"/>
          <w:szCs w:val="24"/>
        </w:rPr>
        <w:t>6</w:t>
      </w:r>
      <w:r w:rsidRPr="001533EE">
        <w:rPr>
          <w:rFonts w:cs="Arial"/>
          <w:sz w:val="24"/>
          <w:szCs w:val="24"/>
        </w:rPr>
        <w:t xml:space="preserve"> treasury operations. The </w:t>
      </w:r>
      <w:r w:rsidR="00A72E1D">
        <w:rPr>
          <w:rFonts w:cs="Arial"/>
          <w:sz w:val="24"/>
          <w:szCs w:val="24"/>
        </w:rPr>
        <w:t>Deputy s73</w:t>
      </w:r>
      <w:r w:rsidRPr="001533EE">
        <w:rPr>
          <w:rFonts w:cs="Arial"/>
          <w:sz w:val="24"/>
          <w:szCs w:val="24"/>
        </w:rPr>
        <w:t xml:space="preserve"> Officer will monitor interest rates in financial markets and adopt a pragmatic approach to changing circumstances:</w:t>
      </w:r>
    </w:p>
    <w:p w14:paraId="1714C41A" w14:textId="77777777" w:rsidR="007564E8" w:rsidRPr="001533EE" w:rsidRDefault="007564E8" w:rsidP="007564E8">
      <w:pPr>
        <w:ind w:left="567" w:hanging="567"/>
        <w:jc w:val="both"/>
        <w:rPr>
          <w:rFonts w:cs="Arial"/>
          <w:sz w:val="24"/>
          <w:szCs w:val="24"/>
        </w:rPr>
      </w:pPr>
    </w:p>
    <w:p w14:paraId="12B3DE4F" w14:textId="77777777" w:rsidR="007564E8" w:rsidRPr="001533EE" w:rsidRDefault="007564E8" w:rsidP="006A2F03">
      <w:pPr>
        <w:pStyle w:val="ListParagraph"/>
        <w:numPr>
          <w:ilvl w:val="0"/>
          <w:numId w:val="22"/>
        </w:numPr>
        <w:ind w:left="1134" w:hanging="283"/>
        <w:contextualSpacing w:val="0"/>
        <w:jc w:val="both"/>
        <w:rPr>
          <w:rFonts w:cs="Arial"/>
          <w:i/>
          <w:iCs/>
          <w:sz w:val="24"/>
          <w:szCs w:val="24"/>
        </w:rPr>
      </w:pPr>
      <w:r w:rsidRPr="001533EE">
        <w:rPr>
          <w:rFonts w:cs="Arial"/>
          <w:i/>
          <w:iCs/>
          <w:sz w:val="24"/>
          <w:szCs w:val="24"/>
        </w:rPr>
        <w:lastRenderedPageBreak/>
        <w:t>if it was felt that there was a significant risk of a sharp FALL in borrowing rates, then borrowing will be postponed.</w:t>
      </w:r>
    </w:p>
    <w:p w14:paraId="19642D68" w14:textId="77777777" w:rsidR="007564E8" w:rsidRPr="001533EE" w:rsidRDefault="007564E8" w:rsidP="007564E8">
      <w:pPr>
        <w:pStyle w:val="ListParagraph"/>
        <w:ind w:left="1134"/>
        <w:contextualSpacing w:val="0"/>
        <w:jc w:val="both"/>
        <w:rPr>
          <w:rFonts w:cs="Arial"/>
          <w:i/>
          <w:iCs/>
          <w:sz w:val="24"/>
          <w:szCs w:val="24"/>
        </w:rPr>
      </w:pPr>
    </w:p>
    <w:p w14:paraId="332EA4CE" w14:textId="77777777" w:rsidR="007564E8" w:rsidRPr="001533EE" w:rsidRDefault="007564E8" w:rsidP="006A2F03">
      <w:pPr>
        <w:pStyle w:val="ListParagraph"/>
        <w:numPr>
          <w:ilvl w:val="0"/>
          <w:numId w:val="22"/>
        </w:numPr>
        <w:ind w:left="1134" w:hanging="283"/>
        <w:contextualSpacing w:val="0"/>
        <w:jc w:val="both"/>
        <w:rPr>
          <w:rFonts w:cs="Arial"/>
          <w:i/>
          <w:iCs/>
          <w:sz w:val="24"/>
          <w:szCs w:val="24"/>
        </w:rPr>
      </w:pPr>
      <w:r w:rsidRPr="001533EE">
        <w:rPr>
          <w:rFonts w:cs="Arial"/>
          <w:i/>
          <w:iCs/>
          <w:sz w:val="24"/>
          <w:szCs w:val="24"/>
        </w:rPr>
        <w:t>if it was felt that there was a significant risk of a much sharper RISE in borrowing rates than that currently forecast, fixed rate funding will be drawn whilst interest rates are lower than they are projected to be in the next few years.</w:t>
      </w:r>
    </w:p>
    <w:p w14:paraId="28AAE66E" w14:textId="434E1B50" w:rsidR="003D1040" w:rsidRPr="001533EE" w:rsidRDefault="003D1040" w:rsidP="003B529F">
      <w:pPr>
        <w:jc w:val="both"/>
        <w:rPr>
          <w:rFonts w:cs="Arial"/>
          <w:sz w:val="24"/>
          <w:szCs w:val="24"/>
        </w:rPr>
      </w:pPr>
    </w:p>
    <w:p w14:paraId="037980CF" w14:textId="52B14E96" w:rsidR="00E17DB5" w:rsidRPr="001533EE" w:rsidRDefault="00E17DB5" w:rsidP="00E17DB5">
      <w:pPr>
        <w:pStyle w:val="ListParagraph"/>
        <w:autoSpaceDE w:val="0"/>
        <w:autoSpaceDN w:val="0"/>
        <w:adjustRightInd w:val="0"/>
        <w:ind w:left="709" w:hanging="709"/>
        <w:contextualSpacing w:val="0"/>
        <w:jc w:val="both"/>
        <w:rPr>
          <w:rFonts w:cs="Arial"/>
          <w:b/>
          <w:bCs/>
          <w:sz w:val="24"/>
          <w:szCs w:val="24"/>
        </w:rPr>
      </w:pPr>
      <w:r w:rsidRPr="001533EE">
        <w:rPr>
          <w:rFonts w:cs="Arial"/>
          <w:sz w:val="24"/>
          <w:szCs w:val="24"/>
        </w:rPr>
        <w:t>3.</w:t>
      </w:r>
      <w:r w:rsidR="001F1C71">
        <w:rPr>
          <w:rFonts w:cs="Arial"/>
          <w:sz w:val="24"/>
          <w:szCs w:val="24"/>
        </w:rPr>
        <w:t>7</w:t>
      </w:r>
      <w:r w:rsidRPr="001533EE">
        <w:rPr>
          <w:rFonts w:cs="Arial"/>
          <w:sz w:val="24"/>
          <w:szCs w:val="24"/>
        </w:rPr>
        <w:tab/>
      </w:r>
      <w:r w:rsidRPr="001533EE">
        <w:rPr>
          <w:rFonts w:cs="Arial"/>
          <w:b/>
          <w:bCs/>
          <w:sz w:val="24"/>
          <w:szCs w:val="24"/>
        </w:rPr>
        <w:t>Policy on borrowing in advance of need</w:t>
      </w:r>
    </w:p>
    <w:p w14:paraId="6332EE0E" w14:textId="77777777" w:rsidR="00E17DB5" w:rsidRPr="001533EE" w:rsidRDefault="00E17DB5" w:rsidP="00E17DB5">
      <w:pPr>
        <w:pStyle w:val="ListParagraph"/>
        <w:autoSpaceDE w:val="0"/>
        <w:autoSpaceDN w:val="0"/>
        <w:adjustRightInd w:val="0"/>
        <w:ind w:left="709" w:hanging="709"/>
        <w:contextualSpacing w:val="0"/>
        <w:jc w:val="both"/>
        <w:rPr>
          <w:rFonts w:cs="Arial"/>
          <w:sz w:val="24"/>
          <w:szCs w:val="24"/>
        </w:rPr>
      </w:pPr>
    </w:p>
    <w:p w14:paraId="54DB5733" w14:textId="65FE2FCF" w:rsidR="00854E01" w:rsidRPr="001533EE" w:rsidRDefault="00854E01" w:rsidP="000A785F">
      <w:pPr>
        <w:pStyle w:val="ListParagraph"/>
        <w:autoSpaceDE w:val="0"/>
        <w:autoSpaceDN w:val="0"/>
        <w:adjustRightInd w:val="0"/>
        <w:ind w:left="709" w:hanging="709"/>
        <w:contextualSpacing w:val="0"/>
        <w:jc w:val="both"/>
        <w:rPr>
          <w:rFonts w:cs="Arial"/>
          <w:sz w:val="24"/>
          <w:szCs w:val="24"/>
        </w:rPr>
      </w:pPr>
      <w:r w:rsidRPr="001533EE">
        <w:rPr>
          <w:rFonts w:cs="Arial"/>
          <w:sz w:val="24"/>
          <w:szCs w:val="24"/>
        </w:rPr>
        <w:tab/>
        <w:t>The Authority will not borrow more than or in advance of its needs purely to profit from the investment of the extra sums borrowed. Any decision to borrow in advance will be within the approved Capital Financing Requirement estimate and will be considered carefully to ensure that value for money can be demonstrated</w:t>
      </w:r>
      <w:r w:rsidR="000A785F" w:rsidRPr="001533EE">
        <w:rPr>
          <w:rFonts w:cs="Arial"/>
          <w:sz w:val="24"/>
          <w:szCs w:val="24"/>
        </w:rPr>
        <w:t>, there is a clear business case for doing so</w:t>
      </w:r>
      <w:r w:rsidRPr="001533EE">
        <w:rPr>
          <w:rFonts w:cs="Arial"/>
          <w:sz w:val="24"/>
          <w:szCs w:val="24"/>
        </w:rPr>
        <w:t xml:space="preserve"> and that the Authority can ensure the security of such funds. </w:t>
      </w:r>
    </w:p>
    <w:p w14:paraId="637D0C90" w14:textId="77777777" w:rsidR="000A785F" w:rsidRPr="001533EE" w:rsidRDefault="000A785F" w:rsidP="000A785F">
      <w:pPr>
        <w:pStyle w:val="ListParagraph"/>
        <w:autoSpaceDE w:val="0"/>
        <w:autoSpaceDN w:val="0"/>
        <w:adjustRightInd w:val="0"/>
        <w:ind w:left="709" w:hanging="709"/>
        <w:contextualSpacing w:val="0"/>
        <w:jc w:val="both"/>
        <w:rPr>
          <w:rFonts w:cs="Arial"/>
          <w:sz w:val="24"/>
          <w:szCs w:val="24"/>
        </w:rPr>
      </w:pPr>
    </w:p>
    <w:p w14:paraId="7DAD18FD" w14:textId="59189B0D" w:rsidR="00854E01" w:rsidRPr="001533EE" w:rsidRDefault="00854E01" w:rsidP="000A785F">
      <w:pPr>
        <w:pStyle w:val="BodyText"/>
        <w:tabs>
          <w:tab w:val="left" w:pos="567"/>
        </w:tabs>
        <w:spacing w:after="120"/>
        <w:ind w:left="709"/>
        <w:rPr>
          <w:rFonts w:cs="Arial"/>
          <w:color w:val="000000"/>
          <w:szCs w:val="24"/>
        </w:rPr>
      </w:pPr>
      <w:r w:rsidRPr="001533EE">
        <w:rPr>
          <w:rFonts w:cs="Arial"/>
          <w:bCs/>
          <w:color w:val="000000"/>
          <w:szCs w:val="24"/>
        </w:rPr>
        <w:t>Risks associated with any borrowing in advance of activity will be subject to prior appraisal and subsequent reporting through the mid-year or annual reporting mechanism.</w:t>
      </w:r>
      <w:r w:rsidRPr="001533EE">
        <w:rPr>
          <w:rFonts w:cs="Arial"/>
          <w:color w:val="000000"/>
          <w:szCs w:val="24"/>
        </w:rPr>
        <w:t xml:space="preserve"> </w:t>
      </w:r>
    </w:p>
    <w:p w14:paraId="6A39CC4C" w14:textId="77777777" w:rsidR="00854E01" w:rsidRPr="001533EE" w:rsidRDefault="00854E01" w:rsidP="00854E01">
      <w:pPr>
        <w:jc w:val="both"/>
        <w:rPr>
          <w:rFonts w:cs="Arial"/>
          <w:sz w:val="24"/>
          <w:szCs w:val="24"/>
        </w:rPr>
      </w:pPr>
    </w:p>
    <w:p w14:paraId="465F795E" w14:textId="3C97C084" w:rsidR="00854E01" w:rsidRPr="001533EE" w:rsidRDefault="000A785F" w:rsidP="000A785F">
      <w:pPr>
        <w:tabs>
          <w:tab w:val="left" w:pos="709"/>
        </w:tabs>
        <w:jc w:val="both"/>
        <w:rPr>
          <w:rFonts w:cs="Arial"/>
          <w:b/>
          <w:sz w:val="24"/>
          <w:szCs w:val="24"/>
        </w:rPr>
      </w:pPr>
      <w:r w:rsidRPr="001533EE">
        <w:rPr>
          <w:rFonts w:cs="Arial"/>
          <w:bCs/>
          <w:sz w:val="24"/>
          <w:szCs w:val="24"/>
        </w:rPr>
        <w:t>3.</w:t>
      </w:r>
      <w:r w:rsidR="001F1C71">
        <w:rPr>
          <w:rFonts w:cs="Arial"/>
          <w:bCs/>
          <w:sz w:val="24"/>
          <w:szCs w:val="24"/>
        </w:rPr>
        <w:t>8</w:t>
      </w:r>
      <w:r w:rsidRPr="001533EE">
        <w:rPr>
          <w:rFonts w:cs="Arial"/>
          <w:b/>
          <w:sz w:val="24"/>
          <w:szCs w:val="24"/>
        </w:rPr>
        <w:tab/>
        <w:t>Debt Rescheduling</w:t>
      </w:r>
    </w:p>
    <w:p w14:paraId="67372435" w14:textId="4974F2A6" w:rsidR="000A785F" w:rsidRPr="001533EE" w:rsidRDefault="000A785F" w:rsidP="000A785F">
      <w:pPr>
        <w:tabs>
          <w:tab w:val="left" w:pos="709"/>
        </w:tabs>
        <w:jc w:val="both"/>
        <w:rPr>
          <w:rFonts w:cs="Arial"/>
          <w:b/>
          <w:sz w:val="24"/>
          <w:szCs w:val="24"/>
        </w:rPr>
      </w:pPr>
    </w:p>
    <w:p w14:paraId="265DE158" w14:textId="5095E6DF" w:rsidR="000A785F" w:rsidRPr="001533EE" w:rsidRDefault="000A785F" w:rsidP="000A785F">
      <w:pPr>
        <w:ind w:left="709" w:hanging="709"/>
        <w:jc w:val="both"/>
        <w:rPr>
          <w:rFonts w:cs="Arial"/>
          <w:color w:val="000000"/>
          <w:sz w:val="24"/>
          <w:szCs w:val="24"/>
        </w:rPr>
      </w:pPr>
      <w:r w:rsidRPr="001533EE">
        <w:rPr>
          <w:rFonts w:cs="Arial"/>
          <w:b/>
          <w:sz w:val="24"/>
          <w:szCs w:val="24"/>
        </w:rPr>
        <w:tab/>
      </w:r>
      <w:r w:rsidRPr="001533EE">
        <w:rPr>
          <w:rFonts w:cs="Arial"/>
          <w:bCs/>
          <w:color w:val="0D0D0D"/>
          <w:sz w:val="24"/>
          <w:szCs w:val="24"/>
        </w:rPr>
        <w:t xml:space="preserve">Rescheduling of current borrowing in the debt portfolio is unlikely to occur as there is still a very large difference between premature redemption rates and new borrowing rates. However, given the current forecasts for the future interest rates this will be kept under review </w:t>
      </w:r>
      <w:r w:rsidRPr="009E13A7">
        <w:rPr>
          <w:rFonts w:cs="Arial"/>
          <w:bCs/>
          <w:color w:val="0D0D0D"/>
          <w:sz w:val="24"/>
          <w:szCs w:val="24"/>
        </w:rPr>
        <w:t xml:space="preserve">and reported to the </w:t>
      </w:r>
      <w:proofErr w:type="gramStart"/>
      <w:r w:rsidR="00A72E1D">
        <w:rPr>
          <w:rFonts w:cs="Arial"/>
          <w:bCs/>
          <w:color w:val="0D0D0D"/>
          <w:sz w:val="24"/>
          <w:szCs w:val="24"/>
        </w:rPr>
        <w:t>Mayor</w:t>
      </w:r>
      <w:proofErr w:type="gramEnd"/>
      <w:r w:rsidR="00A21058" w:rsidRPr="009E13A7">
        <w:rPr>
          <w:rFonts w:cs="Arial"/>
          <w:bCs/>
          <w:color w:val="0D0D0D"/>
          <w:sz w:val="24"/>
          <w:szCs w:val="24"/>
        </w:rPr>
        <w:t xml:space="preserve"> </w:t>
      </w:r>
      <w:r w:rsidRPr="009E13A7">
        <w:rPr>
          <w:rFonts w:cs="Arial"/>
          <w:bCs/>
          <w:color w:val="0D0D0D"/>
          <w:sz w:val="24"/>
          <w:szCs w:val="24"/>
        </w:rPr>
        <w:t>where</w:t>
      </w:r>
      <w:r w:rsidRPr="001533EE">
        <w:rPr>
          <w:rFonts w:cs="Arial"/>
          <w:bCs/>
          <w:color w:val="0D0D0D"/>
          <w:sz w:val="24"/>
          <w:szCs w:val="24"/>
        </w:rPr>
        <w:t xml:space="preserve"> necessary.  </w:t>
      </w:r>
    </w:p>
    <w:p w14:paraId="32ECBF45" w14:textId="052297EE" w:rsidR="00854E01" w:rsidRPr="001533EE" w:rsidRDefault="00854E01" w:rsidP="00EC6B33">
      <w:pPr>
        <w:ind w:left="709" w:hanging="709"/>
        <w:jc w:val="both"/>
        <w:rPr>
          <w:rFonts w:cs="Arial"/>
          <w:b/>
          <w:sz w:val="24"/>
          <w:szCs w:val="24"/>
        </w:rPr>
      </w:pPr>
    </w:p>
    <w:p w14:paraId="331AC508" w14:textId="77777777" w:rsidR="00FA54BE" w:rsidRPr="001533EE" w:rsidRDefault="00FA54BE" w:rsidP="00EC6B33">
      <w:pPr>
        <w:ind w:left="709" w:hanging="709"/>
        <w:jc w:val="both"/>
        <w:rPr>
          <w:rFonts w:cs="Arial"/>
          <w:b/>
          <w:sz w:val="24"/>
          <w:szCs w:val="24"/>
        </w:rPr>
      </w:pPr>
    </w:p>
    <w:p w14:paraId="6C9FCAF6" w14:textId="26129E8B" w:rsidR="00697204" w:rsidRDefault="003B529F" w:rsidP="003B529F">
      <w:pPr>
        <w:ind w:left="709" w:hanging="709"/>
        <w:jc w:val="both"/>
        <w:rPr>
          <w:rFonts w:cs="Arial"/>
          <w:b/>
          <w:bCs/>
          <w:sz w:val="24"/>
          <w:szCs w:val="24"/>
        </w:rPr>
      </w:pPr>
      <w:r w:rsidRPr="001533EE">
        <w:rPr>
          <w:rFonts w:cs="Arial"/>
          <w:b/>
          <w:bCs/>
          <w:sz w:val="24"/>
          <w:szCs w:val="24"/>
        </w:rPr>
        <w:t>4.0</w:t>
      </w:r>
      <w:r w:rsidRPr="001533EE">
        <w:rPr>
          <w:rFonts w:cs="Arial"/>
          <w:b/>
          <w:bCs/>
          <w:sz w:val="24"/>
          <w:szCs w:val="24"/>
        </w:rPr>
        <w:tab/>
      </w:r>
      <w:r w:rsidR="00E8383A" w:rsidRPr="001A051A">
        <w:rPr>
          <w:rFonts w:cs="Arial"/>
          <w:b/>
          <w:bCs/>
          <w:sz w:val="24"/>
          <w:szCs w:val="24"/>
        </w:rPr>
        <w:t xml:space="preserve">SECTION 4 - </w:t>
      </w:r>
      <w:r w:rsidR="00712B3F" w:rsidRPr="001A051A">
        <w:rPr>
          <w:rFonts w:cs="Arial"/>
          <w:b/>
          <w:bCs/>
          <w:sz w:val="24"/>
          <w:szCs w:val="24"/>
        </w:rPr>
        <w:t>ANNUAL INVESTMENT STRATEGY</w:t>
      </w:r>
      <w:r w:rsidR="00697204">
        <w:rPr>
          <w:rFonts w:cs="Arial"/>
          <w:b/>
          <w:bCs/>
          <w:sz w:val="24"/>
          <w:szCs w:val="24"/>
        </w:rPr>
        <w:t xml:space="preserve"> </w:t>
      </w:r>
    </w:p>
    <w:p w14:paraId="77E76185" w14:textId="77777777" w:rsidR="001A051A" w:rsidRDefault="001A051A" w:rsidP="003B529F">
      <w:pPr>
        <w:ind w:left="709" w:hanging="709"/>
        <w:jc w:val="both"/>
        <w:rPr>
          <w:rFonts w:cs="Arial"/>
          <w:b/>
          <w:bCs/>
          <w:sz w:val="24"/>
          <w:szCs w:val="24"/>
        </w:rPr>
      </w:pPr>
    </w:p>
    <w:p w14:paraId="64512E10" w14:textId="77777777" w:rsidR="00697204" w:rsidRDefault="00697204" w:rsidP="00697204">
      <w:pPr>
        <w:ind w:left="851" w:hanging="851"/>
        <w:jc w:val="both"/>
        <w:rPr>
          <w:rFonts w:eastAsia="Calibri" w:cs="Arial"/>
          <w:color w:val="0D0D0D"/>
          <w:sz w:val="24"/>
          <w:szCs w:val="24"/>
        </w:rPr>
      </w:pPr>
      <w:r w:rsidRPr="00697204">
        <w:rPr>
          <w:rFonts w:cs="Arial"/>
          <w:sz w:val="24"/>
          <w:szCs w:val="24"/>
        </w:rPr>
        <w:t>4.1</w:t>
      </w:r>
      <w:r>
        <w:rPr>
          <w:rFonts w:cs="Arial"/>
          <w:b/>
          <w:bCs/>
          <w:sz w:val="24"/>
          <w:szCs w:val="24"/>
        </w:rPr>
        <w:t xml:space="preserve"> </w:t>
      </w:r>
      <w:r>
        <w:rPr>
          <w:rFonts w:cs="Arial"/>
          <w:b/>
          <w:bCs/>
          <w:sz w:val="24"/>
          <w:szCs w:val="24"/>
        </w:rPr>
        <w:tab/>
      </w:r>
      <w:r w:rsidRPr="00624D3A">
        <w:rPr>
          <w:rFonts w:cs="Arial"/>
          <w:sz w:val="24"/>
          <w:szCs w:val="24"/>
        </w:rPr>
        <w:t xml:space="preserve">North Yorkshire Council currently provides most of the Authority’s Treasury Management arrangements under the terms of </w:t>
      </w:r>
      <w:r>
        <w:rPr>
          <w:rFonts w:cs="Arial"/>
          <w:sz w:val="24"/>
          <w:szCs w:val="24"/>
        </w:rPr>
        <w:t>a</w:t>
      </w:r>
      <w:r w:rsidRPr="00624D3A">
        <w:rPr>
          <w:rFonts w:cs="Arial"/>
          <w:sz w:val="24"/>
          <w:szCs w:val="24"/>
        </w:rPr>
        <w:t xml:space="preserve"> Service Level Agreement.</w:t>
      </w:r>
      <w:r w:rsidRPr="005A218B">
        <w:rPr>
          <w:rFonts w:eastAsia="Calibri" w:cs="Arial"/>
          <w:color w:val="0D0D0D"/>
          <w:sz w:val="24"/>
          <w:szCs w:val="24"/>
        </w:rPr>
        <w:t xml:space="preserve"> </w:t>
      </w:r>
      <w:r w:rsidRPr="001533EE">
        <w:rPr>
          <w:rFonts w:eastAsia="Calibri" w:cs="Arial"/>
          <w:color w:val="0D0D0D"/>
          <w:sz w:val="24"/>
          <w:szCs w:val="24"/>
        </w:rPr>
        <w:t>Under the agreement, NYC collects all available balances from the Authority and other organisations using the Treasury Management service and pools with NYC funds. These aggregated balances are then invested in accordance with the agreed Investment Strategy.</w:t>
      </w:r>
    </w:p>
    <w:p w14:paraId="19610CE2" w14:textId="77777777" w:rsidR="00697204" w:rsidRDefault="00697204" w:rsidP="00697204">
      <w:pPr>
        <w:ind w:left="709" w:hanging="709"/>
        <w:jc w:val="both"/>
        <w:rPr>
          <w:rFonts w:eastAsia="Calibri" w:cs="Arial"/>
          <w:color w:val="0D0D0D"/>
          <w:sz w:val="24"/>
          <w:szCs w:val="24"/>
        </w:rPr>
      </w:pPr>
    </w:p>
    <w:p w14:paraId="3B37F140" w14:textId="76705BA2" w:rsidR="00697204" w:rsidRPr="001A051A" w:rsidRDefault="00697204" w:rsidP="00697204">
      <w:pPr>
        <w:ind w:left="851" w:hanging="851"/>
        <w:jc w:val="both"/>
        <w:rPr>
          <w:rFonts w:eastAsia="Calibri" w:cs="Arial"/>
          <w:color w:val="0D0D0D"/>
          <w:sz w:val="24"/>
          <w:szCs w:val="24"/>
        </w:rPr>
      </w:pPr>
      <w:r>
        <w:rPr>
          <w:rFonts w:eastAsia="Calibri" w:cs="Arial"/>
          <w:color w:val="0D0D0D"/>
          <w:sz w:val="24"/>
          <w:szCs w:val="24"/>
        </w:rPr>
        <w:t>4.2</w:t>
      </w:r>
      <w:r>
        <w:rPr>
          <w:rFonts w:eastAsia="Calibri" w:cs="Arial"/>
          <w:color w:val="0D0D0D"/>
          <w:sz w:val="24"/>
          <w:szCs w:val="24"/>
        </w:rPr>
        <w:tab/>
        <w:t>Following the transfer of functions of the PFCC to the Mayoral Combined Authority on 7</w:t>
      </w:r>
      <w:r w:rsidRPr="005A45F2">
        <w:rPr>
          <w:rFonts w:eastAsia="Calibri" w:cs="Arial"/>
          <w:color w:val="0D0D0D"/>
          <w:sz w:val="24"/>
          <w:szCs w:val="24"/>
          <w:vertAlign w:val="superscript"/>
        </w:rPr>
        <w:t>th</w:t>
      </w:r>
      <w:r>
        <w:rPr>
          <w:rFonts w:eastAsia="Calibri" w:cs="Arial"/>
          <w:color w:val="0D0D0D"/>
          <w:sz w:val="24"/>
          <w:szCs w:val="24"/>
        </w:rPr>
        <w:t xml:space="preserve"> May 2024, there is now a requirement driven by the Service’s banking provider, Barclays, for it to no longer share a banking platform with NYC and sit on </w:t>
      </w:r>
      <w:r w:rsidRPr="001A051A">
        <w:rPr>
          <w:rFonts w:eastAsia="Calibri" w:cs="Arial"/>
          <w:color w:val="0D0D0D"/>
          <w:sz w:val="24"/>
          <w:szCs w:val="24"/>
        </w:rPr>
        <w:t>a standalone YNYCA platform. Consequently, the daily sweep of the Service’s balance by NYC can no longer automatically occur and it is proposed that the following change in arrangements will come into effect from December 2025:</w:t>
      </w:r>
    </w:p>
    <w:p w14:paraId="6C2EF219" w14:textId="77777777" w:rsidR="00697204" w:rsidRPr="001A051A" w:rsidRDefault="00697204" w:rsidP="00697204">
      <w:pPr>
        <w:ind w:left="709"/>
        <w:jc w:val="both"/>
        <w:rPr>
          <w:rFonts w:eastAsia="Calibri" w:cs="Arial"/>
          <w:color w:val="0D0D0D"/>
          <w:sz w:val="24"/>
          <w:szCs w:val="24"/>
        </w:rPr>
      </w:pPr>
    </w:p>
    <w:p w14:paraId="600A9EB8" w14:textId="05B43FA9" w:rsidR="00697204" w:rsidRPr="001A051A" w:rsidRDefault="00697204" w:rsidP="006A2F03">
      <w:pPr>
        <w:pStyle w:val="ListParagraph"/>
        <w:numPr>
          <w:ilvl w:val="0"/>
          <w:numId w:val="37"/>
        </w:numPr>
        <w:jc w:val="both"/>
        <w:rPr>
          <w:rFonts w:eastAsia="Calibri" w:cs="Arial"/>
          <w:color w:val="0D0D0D"/>
          <w:sz w:val="24"/>
          <w:szCs w:val="24"/>
        </w:rPr>
      </w:pPr>
      <w:r w:rsidRPr="001A051A">
        <w:rPr>
          <w:rFonts w:eastAsia="Calibri" w:cs="Arial"/>
          <w:color w:val="0D0D0D"/>
          <w:sz w:val="24"/>
          <w:szCs w:val="24"/>
        </w:rPr>
        <w:t xml:space="preserve">The Service will hold around £3m - £4m in its Barclays account for daily operations. </w:t>
      </w:r>
      <w:r w:rsidR="00786C9C" w:rsidRPr="001A051A">
        <w:rPr>
          <w:rFonts w:eastAsia="Calibri" w:cs="Arial"/>
          <w:color w:val="0D0D0D"/>
          <w:sz w:val="24"/>
          <w:szCs w:val="24"/>
        </w:rPr>
        <w:t xml:space="preserve">The rate of interest on the account is </w:t>
      </w:r>
      <w:proofErr w:type="spellStart"/>
      <w:r w:rsidR="00786C9C" w:rsidRPr="001A051A">
        <w:rPr>
          <w:rFonts w:eastAsia="Calibri" w:cs="Arial"/>
          <w:color w:val="0D0D0D"/>
          <w:sz w:val="24"/>
          <w:szCs w:val="24"/>
        </w:rPr>
        <w:t>Base less</w:t>
      </w:r>
      <w:proofErr w:type="spellEnd"/>
      <w:r w:rsidR="00786C9C" w:rsidRPr="001A051A">
        <w:rPr>
          <w:rFonts w:eastAsia="Calibri" w:cs="Arial"/>
          <w:color w:val="0D0D0D"/>
          <w:sz w:val="24"/>
          <w:szCs w:val="24"/>
        </w:rPr>
        <w:t xml:space="preserve"> 0.9%.</w:t>
      </w:r>
    </w:p>
    <w:p w14:paraId="1277D994" w14:textId="77777777" w:rsidR="00697204" w:rsidRDefault="00697204" w:rsidP="006A2F03">
      <w:pPr>
        <w:pStyle w:val="ListParagraph"/>
        <w:numPr>
          <w:ilvl w:val="0"/>
          <w:numId w:val="37"/>
        </w:numPr>
        <w:jc w:val="both"/>
        <w:rPr>
          <w:rFonts w:eastAsia="Calibri" w:cs="Arial"/>
          <w:color w:val="0D0D0D"/>
          <w:sz w:val="24"/>
          <w:szCs w:val="24"/>
        </w:rPr>
      </w:pPr>
      <w:r>
        <w:rPr>
          <w:rFonts w:eastAsia="Calibri" w:cs="Arial"/>
          <w:color w:val="0D0D0D"/>
          <w:sz w:val="24"/>
          <w:szCs w:val="24"/>
        </w:rPr>
        <w:t>We will place the remainder of funds with NYC which will remain in the pool on a medium to long term basis. They will only be added to or withdrawn when there is a change to the Service’s short term funding requirement above and NYC have requested that the number of such transactions per year should be kept to a minimum.</w:t>
      </w:r>
    </w:p>
    <w:p w14:paraId="1AE2C95A" w14:textId="77777777" w:rsidR="00697204" w:rsidRDefault="00697204" w:rsidP="00697204">
      <w:pPr>
        <w:ind w:left="567"/>
        <w:jc w:val="both"/>
        <w:rPr>
          <w:rFonts w:eastAsia="Calibri" w:cs="Arial"/>
          <w:color w:val="0D0D0D"/>
          <w:sz w:val="24"/>
          <w:szCs w:val="24"/>
        </w:rPr>
      </w:pPr>
    </w:p>
    <w:p w14:paraId="09533939" w14:textId="454F66F6" w:rsidR="00697204" w:rsidRDefault="00697204" w:rsidP="00697204">
      <w:pPr>
        <w:ind w:left="709" w:hanging="709"/>
        <w:jc w:val="both"/>
        <w:rPr>
          <w:rFonts w:eastAsia="Calibri" w:cs="Arial"/>
          <w:color w:val="0D0D0D"/>
          <w:sz w:val="24"/>
          <w:szCs w:val="24"/>
        </w:rPr>
      </w:pPr>
      <w:r>
        <w:rPr>
          <w:rFonts w:eastAsia="Calibri" w:cs="Arial"/>
          <w:color w:val="0D0D0D"/>
          <w:sz w:val="24"/>
          <w:szCs w:val="24"/>
        </w:rPr>
        <w:lastRenderedPageBreak/>
        <w:t>4.3</w:t>
      </w:r>
      <w:r>
        <w:rPr>
          <w:rFonts w:eastAsia="Calibri" w:cs="Arial"/>
          <w:color w:val="0D0D0D"/>
          <w:sz w:val="24"/>
          <w:szCs w:val="24"/>
        </w:rPr>
        <w:tab/>
        <w:t>This new arrangement leads to a reduction in interest earned on the Service’s balances. Based on current rates, for every £1m held in Barclays the Service will lose around £10k per year in interest compared to current arrangements. Based on holding £3m to £4m in Barclays for daily operational needs, this equates to a loss in interest per year of around £30k - £40k at current rates.</w:t>
      </w:r>
    </w:p>
    <w:p w14:paraId="005BBCEC" w14:textId="77777777" w:rsidR="00E8383A" w:rsidRPr="001533EE" w:rsidRDefault="00E8383A" w:rsidP="00E8383A">
      <w:pPr>
        <w:tabs>
          <w:tab w:val="left" w:pos="567"/>
        </w:tabs>
        <w:jc w:val="both"/>
        <w:rPr>
          <w:rFonts w:cs="Arial"/>
          <w:sz w:val="24"/>
          <w:szCs w:val="24"/>
        </w:rPr>
      </w:pPr>
    </w:p>
    <w:p w14:paraId="60AD9747" w14:textId="79C8C3F6" w:rsidR="00E8383A" w:rsidRPr="001533EE" w:rsidRDefault="00E8383A" w:rsidP="00E8383A">
      <w:pPr>
        <w:ind w:left="709" w:hanging="709"/>
        <w:jc w:val="both"/>
        <w:rPr>
          <w:rFonts w:cs="Arial"/>
          <w:sz w:val="24"/>
          <w:szCs w:val="24"/>
        </w:rPr>
      </w:pPr>
      <w:r w:rsidRPr="001533EE">
        <w:rPr>
          <w:rFonts w:cs="Arial"/>
          <w:sz w:val="24"/>
          <w:szCs w:val="24"/>
        </w:rPr>
        <w:t>4.</w:t>
      </w:r>
      <w:r w:rsidR="00697204">
        <w:rPr>
          <w:rFonts w:cs="Arial"/>
          <w:sz w:val="24"/>
          <w:szCs w:val="24"/>
        </w:rPr>
        <w:t>4</w:t>
      </w:r>
      <w:r w:rsidRPr="001533EE">
        <w:rPr>
          <w:rFonts w:cs="Arial"/>
          <w:sz w:val="24"/>
          <w:szCs w:val="24"/>
        </w:rPr>
        <w:tab/>
        <w:t>By virtue of the Service Level Agreement with North Yorkshire Council, the Authority has adopted the Annual Investment Strategy of the Council which is embedded within the terms of the agreement and within the services which the Council provides on the Authority’s behalf.  NYC’s Annual Treasury Management and Investment Strategy for 202</w:t>
      </w:r>
      <w:r w:rsidR="0069240C">
        <w:rPr>
          <w:rFonts w:cs="Arial"/>
          <w:sz w:val="24"/>
          <w:szCs w:val="24"/>
        </w:rPr>
        <w:t>6</w:t>
      </w:r>
      <w:r w:rsidRPr="001533EE">
        <w:rPr>
          <w:rFonts w:cs="Arial"/>
          <w:sz w:val="24"/>
          <w:szCs w:val="24"/>
        </w:rPr>
        <w:t>/2</w:t>
      </w:r>
      <w:r w:rsidR="0069240C">
        <w:rPr>
          <w:rFonts w:cs="Arial"/>
          <w:sz w:val="24"/>
          <w:szCs w:val="24"/>
        </w:rPr>
        <w:t>7</w:t>
      </w:r>
      <w:r w:rsidRPr="001533EE">
        <w:rPr>
          <w:rFonts w:cs="Arial"/>
          <w:sz w:val="24"/>
          <w:szCs w:val="24"/>
        </w:rPr>
        <w:t xml:space="preserve"> </w:t>
      </w:r>
      <w:r w:rsidRPr="001A051A">
        <w:rPr>
          <w:rFonts w:cs="Arial"/>
          <w:sz w:val="24"/>
          <w:szCs w:val="24"/>
        </w:rPr>
        <w:t>was approved by its Executive on 2</w:t>
      </w:r>
      <w:r w:rsidR="0069240C" w:rsidRPr="001A051A">
        <w:rPr>
          <w:rFonts w:cs="Arial"/>
          <w:sz w:val="24"/>
          <w:szCs w:val="24"/>
        </w:rPr>
        <w:t>0th</w:t>
      </w:r>
      <w:r w:rsidRPr="001A051A">
        <w:rPr>
          <w:rFonts w:cs="Arial"/>
          <w:sz w:val="24"/>
          <w:szCs w:val="24"/>
        </w:rPr>
        <w:t xml:space="preserve"> January 202</w:t>
      </w:r>
      <w:r w:rsidR="0069240C" w:rsidRPr="001A051A">
        <w:rPr>
          <w:rFonts w:cs="Arial"/>
          <w:sz w:val="24"/>
          <w:szCs w:val="24"/>
        </w:rPr>
        <w:t>6</w:t>
      </w:r>
      <w:r w:rsidRPr="001A051A">
        <w:rPr>
          <w:rFonts w:cs="Arial"/>
          <w:sz w:val="24"/>
          <w:szCs w:val="24"/>
        </w:rPr>
        <w:t xml:space="preserve"> and will go to Council for formal approval on </w:t>
      </w:r>
      <w:r w:rsidR="001A051A" w:rsidRPr="001A051A">
        <w:rPr>
          <w:rFonts w:cs="Arial"/>
          <w:sz w:val="24"/>
          <w:szCs w:val="24"/>
        </w:rPr>
        <w:t>13</w:t>
      </w:r>
      <w:r w:rsidR="00A21058" w:rsidRPr="001A051A">
        <w:rPr>
          <w:rFonts w:cs="Arial"/>
          <w:sz w:val="24"/>
          <w:szCs w:val="24"/>
        </w:rPr>
        <w:t>th</w:t>
      </w:r>
      <w:r w:rsidRPr="001A051A">
        <w:rPr>
          <w:rFonts w:cs="Arial"/>
          <w:sz w:val="24"/>
          <w:szCs w:val="24"/>
        </w:rPr>
        <w:t xml:space="preserve"> February 202</w:t>
      </w:r>
      <w:r w:rsidR="001A051A" w:rsidRPr="001A051A">
        <w:rPr>
          <w:rFonts w:cs="Arial"/>
          <w:sz w:val="24"/>
          <w:szCs w:val="24"/>
        </w:rPr>
        <w:t>6</w:t>
      </w:r>
      <w:r w:rsidRPr="001A051A">
        <w:rPr>
          <w:rFonts w:cs="Arial"/>
          <w:sz w:val="24"/>
          <w:szCs w:val="24"/>
        </w:rPr>
        <w:t>.</w:t>
      </w:r>
    </w:p>
    <w:p w14:paraId="7EEBB231" w14:textId="50CA700C" w:rsidR="00E8383A" w:rsidRPr="001533EE" w:rsidRDefault="00523853" w:rsidP="00E8383A">
      <w:pPr>
        <w:pStyle w:val="subhead"/>
        <w:tabs>
          <w:tab w:val="right" w:leader="dot" w:pos="1985"/>
        </w:tabs>
        <w:ind w:left="709" w:hanging="709"/>
        <w:rPr>
          <w:noProof w:val="0"/>
          <w:sz w:val="24"/>
          <w:szCs w:val="24"/>
        </w:rPr>
      </w:pPr>
      <w:r w:rsidRPr="001533EE">
        <w:rPr>
          <w:b w:val="0"/>
          <w:bCs/>
          <w:sz w:val="24"/>
          <w:szCs w:val="24"/>
        </w:rPr>
        <w:t>4.</w:t>
      </w:r>
      <w:r w:rsidR="00503937">
        <w:rPr>
          <w:b w:val="0"/>
          <w:bCs/>
          <w:sz w:val="24"/>
          <w:szCs w:val="24"/>
        </w:rPr>
        <w:t>5</w:t>
      </w:r>
      <w:r w:rsidRPr="001533EE">
        <w:rPr>
          <w:sz w:val="24"/>
          <w:szCs w:val="24"/>
        </w:rPr>
        <w:tab/>
      </w:r>
      <w:r w:rsidR="00E8383A" w:rsidRPr="00503937">
        <w:rPr>
          <w:noProof w:val="0"/>
          <w:sz w:val="24"/>
          <w:szCs w:val="24"/>
        </w:rPr>
        <w:t>Investment policy - management of risk</w:t>
      </w:r>
    </w:p>
    <w:p w14:paraId="1190F20F" w14:textId="77777777" w:rsidR="0069240C" w:rsidRPr="0069240C" w:rsidRDefault="0069240C" w:rsidP="0069240C">
      <w:pPr>
        <w:ind w:left="567"/>
        <w:jc w:val="both"/>
        <w:rPr>
          <w:rFonts w:cs="Arial"/>
          <w:sz w:val="24"/>
          <w:szCs w:val="24"/>
        </w:rPr>
      </w:pPr>
      <w:r w:rsidRPr="0069240C">
        <w:rPr>
          <w:rFonts w:cs="Arial"/>
          <w:sz w:val="24"/>
          <w:szCs w:val="24"/>
        </w:rPr>
        <w:t>The Ministry of Housing, Communities and Local Government (MHCLG)</w:t>
      </w:r>
      <w:r w:rsidRPr="0069240C">
        <w:rPr>
          <w:rFonts w:ascii="Calibri" w:hAnsi="Calibri" w:cs="Arial"/>
          <w:sz w:val="22"/>
          <w:szCs w:val="22"/>
        </w:rPr>
        <w:t xml:space="preserve"> </w:t>
      </w:r>
      <w:r w:rsidRPr="0069240C">
        <w:rPr>
          <w:rFonts w:cs="Arial"/>
          <w:sz w:val="24"/>
          <w:szCs w:val="24"/>
        </w:rPr>
        <w:t>and CIPFA have extended the meaning of ‘investments’ to include both financial and non-financial investments.  This report deals solely with treasury (financial) investments, (as managed by the treasury management team).  Non-financial investments, essentially the purchase of income yielding assets, are covered in the Capital Strategy, (</w:t>
      </w:r>
      <w:r w:rsidRPr="0069240C">
        <w:rPr>
          <w:rFonts w:cs="Arial"/>
          <w:b/>
          <w:sz w:val="24"/>
          <w:szCs w:val="24"/>
        </w:rPr>
        <w:t>ANNEX 2</w:t>
      </w:r>
      <w:r w:rsidRPr="0069240C">
        <w:rPr>
          <w:rFonts w:cs="Arial"/>
          <w:sz w:val="24"/>
          <w:szCs w:val="24"/>
        </w:rPr>
        <w:t>).</w:t>
      </w:r>
    </w:p>
    <w:p w14:paraId="00A2F0EF" w14:textId="77777777" w:rsidR="0069240C" w:rsidRPr="0069240C" w:rsidRDefault="0069240C" w:rsidP="0069240C">
      <w:pPr>
        <w:ind w:left="567" w:hanging="567"/>
        <w:jc w:val="both"/>
        <w:rPr>
          <w:rFonts w:cs="Arial"/>
          <w:spacing w:val="-5"/>
          <w:sz w:val="24"/>
          <w:szCs w:val="24"/>
          <w:lang w:eastAsia="en-US"/>
        </w:rPr>
      </w:pPr>
    </w:p>
    <w:p w14:paraId="0601BF3E" w14:textId="77777777" w:rsidR="0069240C" w:rsidRPr="0069240C" w:rsidRDefault="0069240C" w:rsidP="0069240C">
      <w:pPr>
        <w:ind w:left="567"/>
        <w:rPr>
          <w:rFonts w:cs="Arial"/>
          <w:sz w:val="24"/>
          <w:szCs w:val="24"/>
        </w:rPr>
      </w:pPr>
      <w:r w:rsidRPr="0069240C">
        <w:rPr>
          <w:rFonts w:cs="Arial"/>
          <w:sz w:val="24"/>
          <w:szCs w:val="24"/>
        </w:rPr>
        <w:t>The Council’s investment policy has regard to the following: -</w:t>
      </w:r>
    </w:p>
    <w:p w14:paraId="0C126CC5" w14:textId="77777777" w:rsidR="0069240C" w:rsidRPr="0069240C" w:rsidRDefault="0069240C" w:rsidP="0069240C">
      <w:pPr>
        <w:ind w:left="567" w:hanging="567"/>
        <w:rPr>
          <w:rFonts w:cs="Arial"/>
          <w:spacing w:val="-5"/>
          <w:sz w:val="24"/>
          <w:szCs w:val="24"/>
          <w:lang w:eastAsia="en-US"/>
        </w:rPr>
      </w:pPr>
    </w:p>
    <w:p w14:paraId="39E365DD" w14:textId="77777777" w:rsidR="0069240C" w:rsidRPr="0069240C" w:rsidRDefault="0069240C" w:rsidP="006A2F03">
      <w:pPr>
        <w:numPr>
          <w:ilvl w:val="0"/>
          <w:numId w:val="38"/>
        </w:numPr>
        <w:ind w:left="1134" w:hanging="567"/>
        <w:rPr>
          <w:rFonts w:cs="Arial"/>
          <w:sz w:val="24"/>
          <w:szCs w:val="24"/>
        </w:rPr>
      </w:pPr>
      <w:r w:rsidRPr="0069240C">
        <w:rPr>
          <w:rFonts w:cs="Arial"/>
          <w:sz w:val="24"/>
          <w:szCs w:val="24"/>
        </w:rPr>
        <w:t>MHCLG’s Guidance on Local Government Investments (“the Guidance”)</w:t>
      </w:r>
    </w:p>
    <w:p w14:paraId="63C7B4DE" w14:textId="77777777" w:rsidR="0069240C" w:rsidRPr="0069240C" w:rsidRDefault="0069240C" w:rsidP="006A2F03">
      <w:pPr>
        <w:numPr>
          <w:ilvl w:val="0"/>
          <w:numId w:val="38"/>
        </w:numPr>
        <w:ind w:left="1134" w:hanging="567"/>
        <w:rPr>
          <w:rFonts w:cs="Arial"/>
          <w:sz w:val="24"/>
          <w:szCs w:val="24"/>
        </w:rPr>
      </w:pPr>
      <w:r w:rsidRPr="0069240C">
        <w:rPr>
          <w:rFonts w:cs="Arial"/>
          <w:sz w:val="24"/>
          <w:szCs w:val="24"/>
        </w:rPr>
        <w:t xml:space="preserve">CIPFA Treasury Management in Public Services Code of Practice and Cross Sectoral Guidance Notes 2021 (“the Code”) </w:t>
      </w:r>
    </w:p>
    <w:p w14:paraId="7F72960A" w14:textId="77777777" w:rsidR="0069240C" w:rsidRPr="0069240C" w:rsidRDefault="0069240C" w:rsidP="006A2F03">
      <w:pPr>
        <w:numPr>
          <w:ilvl w:val="0"/>
          <w:numId w:val="38"/>
        </w:numPr>
        <w:ind w:left="1134" w:hanging="567"/>
        <w:rPr>
          <w:rFonts w:cs="Arial"/>
          <w:sz w:val="24"/>
          <w:szCs w:val="24"/>
        </w:rPr>
      </w:pPr>
      <w:r w:rsidRPr="0069240C">
        <w:rPr>
          <w:rFonts w:cs="Arial"/>
          <w:sz w:val="24"/>
          <w:szCs w:val="24"/>
        </w:rPr>
        <w:t xml:space="preserve">CIPFA Treasury Management Guidance Notes 2021  </w:t>
      </w:r>
    </w:p>
    <w:p w14:paraId="69F30553" w14:textId="77777777" w:rsidR="0069240C" w:rsidRPr="0069240C" w:rsidRDefault="0069240C" w:rsidP="0069240C">
      <w:pPr>
        <w:ind w:left="1134"/>
        <w:rPr>
          <w:rFonts w:cs="Arial"/>
          <w:sz w:val="24"/>
          <w:szCs w:val="24"/>
          <w:highlight w:val="yellow"/>
        </w:rPr>
      </w:pPr>
    </w:p>
    <w:p w14:paraId="2B203F8F" w14:textId="77777777" w:rsidR="0069240C" w:rsidRPr="0069240C" w:rsidRDefault="0069240C" w:rsidP="0069240C">
      <w:pPr>
        <w:ind w:left="567" w:hanging="567"/>
        <w:jc w:val="both"/>
        <w:rPr>
          <w:rFonts w:cs="Arial"/>
          <w:sz w:val="24"/>
          <w:szCs w:val="24"/>
        </w:rPr>
      </w:pPr>
    </w:p>
    <w:p w14:paraId="0F3314D6" w14:textId="77777777" w:rsidR="0069240C" w:rsidRPr="0069240C" w:rsidRDefault="0069240C" w:rsidP="0069240C">
      <w:pPr>
        <w:ind w:left="567"/>
        <w:jc w:val="both"/>
        <w:rPr>
          <w:rFonts w:cs="Arial"/>
          <w:spacing w:val="-5"/>
          <w:sz w:val="24"/>
          <w:szCs w:val="24"/>
          <w:lang w:eastAsia="en-US"/>
        </w:rPr>
      </w:pPr>
      <w:r w:rsidRPr="0069240C">
        <w:rPr>
          <w:rFonts w:cs="Arial"/>
          <w:spacing w:val="-5"/>
          <w:sz w:val="24"/>
          <w:szCs w:val="24"/>
          <w:lang w:eastAsia="en-US"/>
        </w:rPr>
        <w:t>The Council’s investment priorities will be security first, portfolio liquidity second and then yield, (return). The Council will aim to achieve the optimum return (yield) on its investments commensurate with proper levels of security and liquidity and within the Council’s risk appetite.</w:t>
      </w:r>
    </w:p>
    <w:p w14:paraId="35B31EF3" w14:textId="77777777" w:rsidR="0069240C" w:rsidRPr="0069240C" w:rsidRDefault="0069240C" w:rsidP="0069240C">
      <w:pPr>
        <w:ind w:left="567" w:hanging="567"/>
        <w:jc w:val="both"/>
        <w:rPr>
          <w:rFonts w:cs="Arial"/>
          <w:spacing w:val="-5"/>
          <w:sz w:val="24"/>
          <w:szCs w:val="24"/>
          <w:lang w:eastAsia="en-US"/>
        </w:rPr>
      </w:pPr>
      <w:r w:rsidRPr="0069240C">
        <w:rPr>
          <w:rFonts w:cs="Arial"/>
          <w:spacing w:val="-5"/>
          <w:sz w:val="24"/>
          <w:szCs w:val="24"/>
          <w:lang w:eastAsia="en-US"/>
        </w:rPr>
        <w:tab/>
      </w:r>
    </w:p>
    <w:p w14:paraId="33B71583" w14:textId="77777777" w:rsidR="0069240C" w:rsidRPr="0069240C" w:rsidRDefault="0069240C" w:rsidP="0069240C">
      <w:pPr>
        <w:ind w:left="567" w:hanging="567"/>
        <w:jc w:val="both"/>
        <w:rPr>
          <w:rFonts w:cs="Arial"/>
          <w:spacing w:val="-5"/>
          <w:sz w:val="24"/>
          <w:szCs w:val="24"/>
          <w:lang w:eastAsia="en-US"/>
        </w:rPr>
      </w:pPr>
      <w:r w:rsidRPr="0069240C">
        <w:rPr>
          <w:rFonts w:cs="Arial"/>
          <w:spacing w:val="-5"/>
          <w:sz w:val="24"/>
          <w:szCs w:val="24"/>
          <w:lang w:eastAsia="en-US"/>
        </w:rPr>
        <w:tab/>
        <w:t>In the current economic climate, it is considered appropriate to maintain a degree of liquidity to cover cash flow needs but to also consider “laddering” investments for periods up to 12 months with high credit rated financial institutions, whilst investment rates remain elevated, as well as wider range fund options.</w:t>
      </w:r>
    </w:p>
    <w:p w14:paraId="11C11623" w14:textId="77777777" w:rsidR="0069240C" w:rsidRPr="0069240C" w:rsidRDefault="0069240C" w:rsidP="0069240C">
      <w:pPr>
        <w:ind w:left="567" w:hanging="567"/>
        <w:jc w:val="both"/>
        <w:rPr>
          <w:rFonts w:cs="Arial"/>
          <w:spacing w:val="-5"/>
          <w:sz w:val="24"/>
          <w:szCs w:val="24"/>
          <w:lang w:eastAsia="en-US"/>
        </w:rPr>
      </w:pPr>
    </w:p>
    <w:p w14:paraId="377B047F" w14:textId="77777777" w:rsidR="0069240C" w:rsidRPr="0069240C" w:rsidRDefault="0069240C" w:rsidP="0069240C">
      <w:pPr>
        <w:ind w:left="567" w:hanging="567"/>
        <w:jc w:val="both"/>
        <w:rPr>
          <w:rFonts w:cs="Arial"/>
          <w:spacing w:val="-5"/>
          <w:sz w:val="24"/>
          <w:szCs w:val="24"/>
          <w:lang w:eastAsia="en-US"/>
        </w:rPr>
      </w:pPr>
      <w:r w:rsidRPr="0069240C">
        <w:rPr>
          <w:rFonts w:cs="Arial"/>
          <w:spacing w:val="-5"/>
          <w:sz w:val="24"/>
          <w:szCs w:val="24"/>
          <w:lang w:eastAsia="en-US"/>
        </w:rPr>
        <w:tab/>
        <w:t>The above guidance from the MHCLG and CIPFA place a high priority on the management of risk. The Council has adopted a prudent approach to managing risk and defines its risk appetite by the following means: -</w:t>
      </w:r>
    </w:p>
    <w:p w14:paraId="0568566E" w14:textId="77777777" w:rsidR="0069240C" w:rsidRPr="0069240C" w:rsidRDefault="0069240C" w:rsidP="0069240C">
      <w:pPr>
        <w:ind w:left="1134" w:hanging="567"/>
        <w:jc w:val="both"/>
        <w:rPr>
          <w:rFonts w:cs="Arial"/>
          <w:spacing w:val="-5"/>
          <w:sz w:val="24"/>
          <w:szCs w:val="24"/>
          <w:lang w:eastAsia="en-US"/>
        </w:rPr>
      </w:pPr>
    </w:p>
    <w:p w14:paraId="0EC868B8" w14:textId="77777777" w:rsidR="0069240C" w:rsidRPr="0069240C" w:rsidRDefault="0069240C" w:rsidP="006A2F03">
      <w:pPr>
        <w:numPr>
          <w:ilvl w:val="1"/>
          <w:numId w:val="39"/>
        </w:numPr>
        <w:ind w:left="1134" w:hanging="567"/>
        <w:jc w:val="both"/>
        <w:rPr>
          <w:rFonts w:cs="Arial"/>
          <w:sz w:val="24"/>
          <w:szCs w:val="24"/>
        </w:rPr>
      </w:pPr>
      <w:r w:rsidRPr="0069240C">
        <w:rPr>
          <w:rFonts w:cs="Arial"/>
          <w:sz w:val="24"/>
          <w:szCs w:val="24"/>
        </w:rPr>
        <w:t xml:space="preserve">Minimum acceptable </w:t>
      </w:r>
      <w:r w:rsidRPr="0069240C">
        <w:rPr>
          <w:rFonts w:cs="Arial"/>
          <w:b/>
          <w:bCs/>
          <w:sz w:val="24"/>
          <w:szCs w:val="24"/>
        </w:rPr>
        <w:t>credit criteria</w:t>
      </w:r>
      <w:r w:rsidRPr="0069240C">
        <w:rPr>
          <w:rFonts w:cs="Arial"/>
          <w:sz w:val="24"/>
          <w:szCs w:val="24"/>
        </w:rPr>
        <w:t xml:space="preserve"> are applied </w:t>
      </w:r>
      <w:proofErr w:type="gramStart"/>
      <w:r w:rsidRPr="0069240C">
        <w:rPr>
          <w:rFonts w:cs="Arial"/>
          <w:sz w:val="24"/>
          <w:szCs w:val="24"/>
        </w:rPr>
        <w:t>in order to</w:t>
      </w:r>
      <w:proofErr w:type="gramEnd"/>
      <w:r w:rsidRPr="0069240C">
        <w:rPr>
          <w:rFonts w:cs="Arial"/>
          <w:sz w:val="24"/>
          <w:szCs w:val="24"/>
        </w:rPr>
        <w:t xml:space="preserve"> generate a list of highly creditworthy counterparties.  This also enables diversification and thus avoidance of concentration risk. The key ratings used to monitor counterparties are the short term and long-term ratings.  </w:t>
      </w:r>
    </w:p>
    <w:p w14:paraId="39661B82" w14:textId="77777777" w:rsidR="0069240C" w:rsidRPr="0069240C" w:rsidRDefault="0069240C" w:rsidP="0069240C">
      <w:pPr>
        <w:ind w:left="1134" w:hanging="567"/>
        <w:jc w:val="both"/>
        <w:rPr>
          <w:rFonts w:cs="Arial"/>
          <w:sz w:val="24"/>
          <w:szCs w:val="24"/>
        </w:rPr>
      </w:pPr>
    </w:p>
    <w:p w14:paraId="1D3A1AB4" w14:textId="77777777" w:rsidR="0069240C" w:rsidRPr="0069240C" w:rsidRDefault="0069240C" w:rsidP="006A2F03">
      <w:pPr>
        <w:numPr>
          <w:ilvl w:val="1"/>
          <w:numId w:val="39"/>
        </w:numPr>
        <w:ind w:left="1134" w:hanging="567"/>
        <w:jc w:val="both"/>
        <w:rPr>
          <w:rFonts w:cs="Arial"/>
          <w:sz w:val="24"/>
          <w:szCs w:val="24"/>
        </w:rPr>
      </w:pPr>
      <w:r w:rsidRPr="0069240C">
        <w:rPr>
          <w:rFonts w:cs="Arial"/>
          <w:b/>
          <w:bCs/>
          <w:sz w:val="24"/>
          <w:szCs w:val="24"/>
        </w:rPr>
        <w:t>Other information</w:t>
      </w:r>
      <w:r w:rsidRPr="0069240C">
        <w:rPr>
          <w:rFonts w:cs="Arial"/>
          <w:sz w:val="24"/>
          <w:szCs w:val="24"/>
        </w:rPr>
        <w:t xml:space="preserve">: ratings will not be the sole determinant of the quality of an institution; it is important to continually assess and monitor the financial sector on both a micro and macro basis and in relation to the economic and political </w:t>
      </w:r>
      <w:r w:rsidRPr="0069240C">
        <w:rPr>
          <w:rFonts w:cs="Arial"/>
          <w:sz w:val="24"/>
          <w:szCs w:val="24"/>
        </w:rPr>
        <w:lastRenderedPageBreak/>
        <w:t xml:space="preserve">environments in which institutions operate. The assessment will also take account of information that reflects the opinion of the markets. To achieve this consideration, the Council will engage with its advisors to maintain a monitor on market pricing such as </w:t>
      </w:r>
      <w:r w:rsidRPr="0069240C">
        <w:rPr>
          <w:rFonts w:cs="Arial"/>
          <w:b/>
          <w:bCs/>
          <w:sz w:val="24"/>
          <w:szCs w:val="24"/>
        </w:rPr>
        <w:t>“credit default swaps”</w:t>
      </w:r>
      <w:r w:rsidRPr="0069240C">
        <w:rPr>
          <w:rFonts w:cs="Arial"/>
          <w:sz w:val="24"/>
          <w:szCs w:val="24"/>
        </w:rPr>
        <w:t xml:space="preserve"> and overlay that information on top of the credit ratings. </w:t>
      </w:r>
    </w:p>
    <w:p w14:paraId="591F2203" w14:textId="77777777" w:rsidR="0069240C" w:rsidRPr="0069240C" w:rsidRDefault="0069240C" w:rsidP="0069240C">
      <w:pPr>
        <w:ind w:left="1134" w:hanging="567"/>
        <w:rPr>
          <w:rFonts w:cs="Arial"/>
          <w:sz w:val="24"/>
          <w:szCs w:val="24"/>
        </w:rPr>
      </w:pPr>
    </w:p>
    <w:p w14:paraId="1A68B6E4" w14:textId="77777777" w:rsidR="0069240C" w:rsidRPr="0069240C" w:rsidRDefault="0069240C" w:rsidP="006A2F03">
      <w:pPr>
        <w:numPr>
          <w:ilvl w:val="1"/>
          <w:numId w:val="39"/>
        </w:numPr>
        <w:ind w:left="1134" w:hanging="567"/>
        <w:jc w:val="both"/>
        <w:rPr>
          <w:rFonts w:cs="Arial"/>
          <w:sz w:val="24"/>
          <w:szCs w:val="24"/>
        </w:rPr>
      </w:pPr>
      <w:r w:rsidRPr="0069240C">
        <w:rPr>
          <w:rFonts w:cs="Arial"/>
          <w:b/>
          <w:bCs/>
          <w:sz w:val="24"/>
          <w:szCs w:val="24"/>
        </w:rPr>
        <w:t>Other information sources</w:t>
      </w:r>
      <w:r w:rsidRPr="0069240C">
        <w:rPr>
          <w:rFonts w:cs="Arial"/>
          <w:sz w:val="24"/>
          <w:szCs w:val="24"/>
        </w:rPr>
        <w:t xml:space="preserve"> used will include the financial press, share price and other such information pertaining to the financial sector </w:t>
      </w:r>
      <w:proofErr w:type="gramStart"/>
      <w:r w:rsidRPr="0069240C">
        <w:rPr>
          <w:rFonts w:cs="Arial"/>
          <w:sz w:val="24"/>
          <w:szCs w:val="24"/>
        </w:rPr>
        <w:t>in order to</w:t>
      </w:r>
      <w:proofErr w:type="gramEnd"/>
      <w:r w:rsidRPr="0069240C">
        <w:rPr>
          <w:rFonts w:cs="Arial"/>
          <w:sz w:val="24"/>
          <w:szCs w:val="24"/>
        </w:rPr>
        <w:t xml:space="preserve"> establish the most robust scrutiny process on the suitability of potential investment counterparties.</w:t>
      </w:r>
    </w:p>
    <w:p w14:paraId="3E3D0E96" w14:textId="77777777" w:rsidR="0069240C" w:rsidRPr="0069240C" w:rsidRDefault="0069240C" w:rsidP="0069240C">
      <w:pPr>
        <w:ind w:left="1134" w:hanging="567"/>
        <w:rPr>
          <w:rFonts w:cs="Arial"/>
          <w:sz w:val="24"/>
          <w:szCs w:val="24"/>
        </w:rPr>
      </w:pPr>
    </w:p>
    <w:p w14:paraId="47656E74" w14:textId="77777777" w:rsidR="0069240C" w:rsidRPr="0069240C" w:rsidRDefault="0069240C" w:rsidP="006A2F03">
      <w:pPr>
        <w:numPr>
          <w:ilvl w:val="1"/>
          <w:numId w:val="39"/>
        </w:numPr>
        <w:ind w:left="1134" w:hanging="567"/>
        <w:jc w:val="both"/>
        <w:rPr>
          <w:rFonts w:cs="Arial"/>
          <w:sz w:val="24"/>
          <w:szCs w:val="24"/>
        </w:rPr>
      </w:pPr>
      <w:r w:rsidRPr="0069240C">
        <w:rPr>
          <w:rFonts w:cs="Arial"/>
          <w:sz w:val="24"/>
          <w:szCs w:val="24"/>
        </w:rPr>
        <w:t xml:space="preserve">The Council has defined the list of types of investment instruments that the treasury management team are authorised to use. </w:t>
      </w:r>
    </w:p>
    <w:p w14:paraId="194B2971" w14:textId="77777777" w:rsidR="0069240C" w:rsidRPr="0069240C" w:rsidRDefault="0069240C" w:rsidP="0069240C">
      <w:pPr>
        <w:ind w:left="720"/>
        <w:rPr>
          <w:rFonts w:cs="Arial"/>
          <w:sz w:val="22"/>
          <w:szCs w:val="22"/>
        </w:rPr>
      </w:pPr>
    </w:p>
    <w:p w14:paraId="73818A99" w14:textId="77777777" w:rsidR="0069240C" w:rsidRPr="0069240C" w:rsidRDefault="0069240C" w:rsidP="006A2F03">
      <w:pPr>
        <w:numPr>
          <w:ilvl w:val="2"/>
          <w:numId w:val="40"/>
        </w:numPr>
        <w:ind w:left="1418" w:hanging="283"/>
        <w:jc w:val="both"/>
        <w:rPr>
          <w:rFonts w:cs="Arial"/>
          <w:sz w:val="24"/>
          <w:szCs w:val="24"/>
        </w:rPr>
      </w:pPr>
      <w:r w:rsidRPr="0069240C">
        <w:rPr>
          <w:rFonts w:cs="Arial"/>
          <w:b/>
          <w:sz w:val="24"/>
          <w:szCs w:val="24"/>
        </w:rPr>
        <w:t>Specified investments</w:t>
      </w:r>
      <w:r w:rsidRPr="0069240C">
        <w:rPr>
          <w:rFonts w:cs="Arial"/>
          <w:sz w:val="24"/>
          <w:szCs w:val="24"/>
        </w:rPr>
        <w:t xml:space="preserve"> are those with a high level of credit quality and subject to a maturity limit of one year</w:t>
      </w:r>
      <w:r w:rsidRPr="0069240C">
        <w:rPr>
          <w:rFonts w:ascii="Calibri" w:hAnsi="Calibri"/>
          <w:sz w:val="22"/>
          <w:szCs w:val="22"/>
        </w:rPr>
        <w:t xml:space="preserve"> </w:t>
      </w:r>
      <w:r w:rsidRPr="0069240C">
        <w:rPr>
          <w:rFonts w:cs="Arial"/>
          <w:sz w:val="24"/>
          <w:szCs w:val="24"/>
        </w:rPr>
        <w:t>or have less than a year left to run to maturity if originally, they were classified as being non-specified investments solely due to the maturity period exceeding one year.</w:t>
      </w:r>
    </w:p>
    <w:p w14:paraId="4BAEF269" w14:textId="77777777" w:rsidR="0069240C" w:rsidRPr="0069240C" w:rsidRDefault="0069240C" w:rsidP="0069240C">
      <w:pPr>
        <w:ind w:left="1418"/>
        <w:jc w:val="both"/>
        <w:rPr>
          <w:rFonts w:cs="Arial"/>
          <w:spacing w:val="-5"/>
          <w:sz w:val="24"/>
          <w:szCs w:val="24"/>
          <w:lang w:eastAsia="en-US"/>
        </w:rPr>
      </w:pPr>
    </w:p>
    <w:p w14:paraId="11969677" w14:textId="77777777" w:rsidR="0069240C" w:rsidRPr="0069240C" w:rsidRDefault="0069240C" w:rsidP="006A2F03">
      <w:pPr>
        <w:numPr>
          <w:ilvl w:val="2"/>
          <w:numId w:val="40"/>
        </w:numPr>
        <w:ind w:left="1418" w:hanging="283"/>
        <w:jc w:val="both"/>
        <w:rPr>
          <w:rFonts w:cs="Arial"/>
          <w:sz w:val="24"/>
          <w:szCs w:val="24"/>
        </w:rPr>
      </w:pPr>
      <w:r w:rsidRPr="0069240C">
        <w:rPr>
          <w:rFonts w:cs="Arial"/>
          <w:b/>
          <w:sz w:val="24"/>
          <w:szCs w:val="24"/>
        </w:rPr>
        <w:t>Non-specified investments</w:t>
      </w:r>
      <w:r w:rsidRPr="0069240C">
        <w:rPr>
          <w:rFonts w:cs="Arial"/>
          <w:sz w:val="24"/>
          <w:szCs w:val="24"/>
        </w:rPr>
        <w:t xml:space="preserve"> are those with less high credit quality, may be for periods in more than one year, and/or are more complex instruments which require greater consideration by members and officers before being authorised for use. </w:t>
      </w:r>
    </w:p>
    <w:p w14:paraId="5917116B" w14:textId="77777777" w:rsidR="0069240C" w:rsidRPr="0069240C" w:rsidRDefault="0069240C" w:rsidP="0069240C">
      <w:pPr>
        <w:rPr>
          <w:rFonts w:cs="Arial"/>
          <w:sz w:val="22"/>
          <w:szCs w:val="22"/>
        </w:rPr>
      </w:pPr>
    </w:p>
    <w:p w14:paraId="65042CEE" w14:textId="77777777" w:rsidR="0069240C" w:rsidRPr="0069240C" w:rsidRDefault="0069240C" w:rsidP="006A2F03">
      <w:pPr>
        <w:numPr>
          <w:ilvl w:val="1"/>
          <w:numId w:val="39"/>
        </w:numPr>
        <w:ind w:left="1134" w:hanging="567"/>
        <w:jc w:val="both"/>
        <w:rPr>
          <w:rFonts w:cs="Arial"/>
          <w:sz w:val="24"/>
          <w:szCs w:val="24"/>
        </w:rPr>
      </w:pPr>
      <w:r w:rsidRPr="0069240C">
        <w:rPr>
          <w:rFonts w:cs="Arial"/>
          <w:b/>
          <w:sz w:val="24"/>
          <w:szCs w:val="24"/>
        </w:rPr>
        <w:t>Non-specified investments limit.</w:t>
      </w:r>
      <w:r w:rsidRPr="0069240C">
        <w:rPr>
          <w:rFonts w:cs="Arial"/>
          <w:sz w:val="24"/>
          <w:szCs w:val="24"/>
        </w:rPr>
        <w:t xml:space="preserve"> The Council has determined that it will limit the maximum total exposure to non-specified investments as being 20% of the total investment portfolio.</w:t>
      </w:r>
    </w:p>
    <w:p w14:paraId="6C3C9859" w14:textId="77777777" w:rsidR="0069240C" w:rsidRPr="0069240C" w:rsidRDefault="0069240C" w:rsidP="0069240C">
      <w:pPr>
        <w:ind w:left="1134" w:hanging="567"/>
        <w:jc w:val="both"/>
        <w:rPr>
          <w:rFonts w:cs="Arial"/>
          <w:sz w:val="24"/>
          <w:szCs w:val="24"/>
        </w:rPr>
      </w:pPr>
    </w:p>
    <w:p w14:paraId="6BAD9221" w14:textId="77777777" w:rsidR="0069240C" w:rsidRPr="0069240C" w:rsidRDefault="0069240C" w:rsidP="006A2F03">
      <w:pPr>
        <w:numPr>
          <w:ilvl w:val="1"/>
          <w:numId w:val="39"/>
        </w:numPr>
        <w:ind w:left="1134" w:hanging="567"/>
        <w:jc w:val="both"/>
        <w:rPr>
          <w:rFonts w:cs="Arial"/>
          <w:sz w:val="24"/>
          <w:szCs w:val="24"/>
        </w:rPr>
      </w:pPr>
      <w:r w:rsidRPr="0069240C">
        <w:rPr>
          <w:rFonts w:cs="Arial"/>
          <w:b/>
          <w:sz w:val="24"/>
          <w:szCs w:val="24"/>
        </w:rPr>
        <w:t>Lending limits</w:t>
      </w:r>
      <w:r w:rsidRPr="0069240C">
        <w:rPr>
          <w:rFonts w:cs="Arial"/>
          <w:sz w:val="24"/>
          <w:szCs w:val="24"/>
        </w:rPr>
        <w:t xml:space="preserve">, (amounts and maturity), for each counterparty will be set through applying the criteria outlined in </w:t>
      </w:r>
      <w:r w:rsidRPr="0069240C">
        <w:rPr>
          <w:rFonts w:cs="Arial"/>
          <w:b/>
          <w:bCs/>
          <w:sz w:val="24"/>
          <w:szCs w:val="24"/>
        </w:rPr>
        <w:t>paragraphs 4.2 &amp; 4.3</w:t>
      </w:r>
      <w:r w:rsidRPr="0069240C">
        <w:rPr>
          <w:rFonts w:cs="Arial"/>
          <w:sz w:val="24"/>
          <w:szCs w:val="24"/>
        </w:rPr>
        <w:t>.</w:t>
      </w:r>
    </w:p>
    <w:p w14:paraId="7CCBE94E" w14:textId="77777777" w:rsidR="0069240C" w:rsidRPr="0069240C" w:rsidRDefault="0069240C" w:rsidP="0069240C">
      <w:pPr>
        <w:ind w:left="1134" w:hanging="567"/>
        <w:jc w:val="both"/>
        <w:rPr>
          <w:rFonts w:cs="Arial"/>
          <w:sz w:val="24"/>
          <w:szCs w:val="24"/>
        </w:rPr>
      </w:pPr>
    </w:p>
    <w:p w14:paraId="35C25623" w14:textId="77777777" w:rsidR="0069240C" w:rsidRPr="0069240C" w:rsidRDefault="0069240C" w:rsidP="006A2F03">
      <w:pPr>
        <w:numPr>
          <w:ilvl w:val="1"/>
          <w:numId w:val="39"/>
        </w:numPr>
        <w:ind w:left="1134" w:hanging="567"/>
        <w:jc w:val="both"/>
        <w:rPr>
          <w:rFonts w:cs="Arial"/>
          <w:sz w:val="24"/>
          <w:szCs w:val="24"/>
        </w:rPr>
      </w:pPr>
      <w:r w:rsidRPr="0069240C">
        <w:rPr>
          <w:rFonts w:cs="Arial"/>
          <w:b/>
          <w:bCs/>
          <w:sz w:val="24"/>
          <w:szCs w:val="24"/>
        </w:rPr>
        <w:t xml:space="preserve">Transaction limits </w:t>
      </w:r>
      <w:r w:rsidRPr="0069240C">
        <w:rPr>
          <w:rFonts w:cs="Arial"/>
          <w:sz w:val="24"/>
          <w:szCs w:val="24"/>
        </w:rPr>
        <w:t xml:space="preserve">are set for each type of investment in through applying the criteria outlined in </w:t>
      </w:r>
      <w:r w:rsidRPr="0069240C">
        <w:rPr>
          <w:rFonts w:cs="Arial"/>
          <w:b/>
          <w:bCs/>
          <w:sz w:val="24"/>
          <w:szCs w:val="24"/>
        </w:rPr>
        <w:t>paragraph 4.2 &amp; 4.3</w:t>
      </w:r>
      <w:r w:rsidRPr="0069240C">
        <w:rPr>
          <w:rFonts w:cs="Arial"/>
          <w:sz w:val="24"/>
          <w:szCs w:val="24"/>
        </w:rPr>
        <w:t>.</w:t>
      </w:r>
    </w:p>
    <w:p w14:paraId="7B6F5FD7" w14:textId="77777777" w:rsidR="0069240C" w:rsidRPr="0069240C" w:rsidRDefault="0069240C" w:rsidP="0069240C">
      <w:pPr>
        <w:ind w:left="1134"/>
        <w:jc w:val="both"/>
        <w:rPr>
          <w:rFonts w:cs="Arial"/>
          <w:sz w:val="24"/>
          <w:szCs w:val="24"/>
        </w:rPr>
      </w:pPr>
    </w:p>
    <w:p w14:paraId="7ABCC738" w14:textId="77777777" w:rsidR="0069240C" w:rsidRPr="0069240C" w:rsidRDefault="0069240C" w:rsidP="006A2F03">
      <w:pPr>
        <w:numPr>
          <w:ilvl w:val="1"/>
          <w:numId w:val="39"/>
        </w:numPr>
        <w:ind w:left="1134" w:hanging="567"/>
        <w:jc w:val="both"/>
        <w:rPr>
          <w:rFonts w:cs="Arial"/>
          <w:sz w:val="24"/>
          <w:szCs w:val="24"/>
        </w:rPr>
      </w:pPr>
      <w:r w:rsidRPr="0069240C">
        <w:rPr>
          <w:rFonts w:cs="Arial"/>
          <w:sz w:val="24"/>
          <w:szCs w:val="24"/>
        </w:rPr>
        <w:t xml:space="preserve">The Council will set a limit </w:t>
      </w:r>
      <w:proofErr w:type="gramStart"/>
      <w:r w:rsidRPr="0069240C">
        <w:rPr>
          <w:rFonts w:cs="Arial"/>
          <w:sz w:val="24"/>
          <w:szCs w:val="24"/>
        </w:rPr>
        <w:t>for the amount of</w:t>
      </w:r>
      <w:proofErr w:type="gramEnd"/>
      <w:r w:rsidRPr="0069240C">
        <w:rPr>
          <w:rFonts w:cs="Arial"/>
          <w:sz w:val="24"/>
          <w:szCs w:val="24"/>
        </w:rPr>
        <w:t xml:space="preserve"> its investments which are invested for </w:t>
      </w:r>
      <w:r w:rsidRPr="0069240C">
        <w:rPr>
          <w:rFonts w:cs="Arial"/>
          <w:b/>
          <w:sz w:val="24"/>
          <w:szCs w:val="24"/>
        </w:rPr>
        <w:t>longer than 365 days</w:t>
      </w:r>
      <w:r w:rsidRPr="0069240C">
        <w:rPr>
          <w:rFonts w:cs="Arial"/>
          <w:bCs/>
          <w:sz w:val="24"/>
          <w:szCs w:val="24"/>
        </w:rPr>
        <w:t xml:space="preserve"> (</w:t>
      </w:r>
      <w:r w:rsidRPr="0069240C">
        <w:rPr>
          <w:rFonts w:cs="Arial"/>
          <w:b/>
          <w:sz w:val="24"/>
          <w:szCs w:val="24"/>
        </w:rPr>
        <w:t>paragraph 4.4</w:t>
      </w:r>
      <w:r w:rsidRPr="0069240C">
        <w:rPr>
          <w:rFonts w:cs="Arial"/>
          <w:bCs/>
          <w:sz w:val="24"/>
          <w:szCs w:val="24"/>
        </w:rPr>
        <w:t>)</w:t>
      </w:r>
      <w:r w:rsidRPr="0069240C">
        <w:rPr>
          <w:rFonts w:cs="Arial"/>
          <w:sz w:val="24"/>
          <w:szCs w:val="24"/>
        </w:rPr>
        <w:t xml:space="preserve">,  </w:t>
      </w:r>
    </w:p>
    <w:p w14:paraId="3733A2F5" w14:textId="77777777" w:rsidR="0069240C" w:rsidRPr="0069240C" w:rsidRDefault="0069240C" w:rsidP="0069240C">
      <w:pPr>
        <w:ind w:left="720"/>
        <w:rPr>
          <w:rFonts w:cs="Arial"/>
          <w:sz w:val="24"/>
          <w:szCs w:val="24"/>
        </w:rPr>
      </w:pPr>
    </w:p>
    <w:p w14:paraId="52FF7555" w14:textId="77777777" w:rsidR="0069240C" w:rsidRPr="0069240C" w:rsidRDefault="0069240C" w:rsidP="006A2F03">
      <w:pPr>
        <w:numPr>
          <w:ilvl w:val="1"/>
          <w:numId w:val="39"/>
        </w:numPr>
        <w:ind w:left="1134" w:hanging="567"/>
        <w:jc w:val="both"/>
        <w:rPr>
          <w:rFonts w:cs="Arial"/>
          <w:sz w:val="24"/>
          <w:szCs w:val="24"/>
        </w:rPr>
      </w:pPr>
      <w:r w:rsidRPr="0069240C">
        <w:rPr>
          <w:rFonts w:cs="Arial"/>
          <w:sz w:val="24"/>
          <w:szCs w:val="24"/>
        </w:rPr>
        <w:t xml:space="preserve">Investments will only be placed with counterparties from countries with a specified minimum </w:t>
      </w:r>
      <w:r w:rsidRPr="0069240C">
        <w:rPr>
          <w:rFonts w:cs="Arial"/>
          <w:b/>
          <w:sz w:val="24"/>
          <w:szCs w:val="24"/>
        </w:rPr>
        <w:t>sovereign rating</w:t>
      </w:r>
      <w:r w:rsidRPr="0069240C">
        <w:rPr>
          <w:rFonts w:cs="Arial"/>
          <w:sz w:val="24"/>
          <w:szCs w:val="24"/>
        </w:rPr>
        <w:t>, (</w:t>
      </w:r>
      <w:r w:rsidRPr="0069240C">
        <w:rPr>
          <w:rFonts w:cs="Arial"/>
          <w:b/>
          <w:sz w:val="24"/>
          <w:szCs w:val="24"/>
        </w:rPr>
        <w:t>paragraph 4.3</w:t>
      </w:r>
      <w:r w:rsidRPr="0069240C">
        <w:rPr>
          <w:rFonts w:cs="Arial"/>
          <w:sz w:val="24"/>
          <w:szCs w:val="24"/>
        </w:rPr>
        <w:t xml:space="preserve">) </w:t>
      </w:r>
    </w:p>
    <w:p w14:paraId="2D452009" w14:textId="77777777" w:rsidR="0069240C" w:rsidRPr="0069240C" w:rsidRDefault="0069240C" w:rsidP="0069240C">
      <w:pPr>
        <w:ind w:left="1134" w:hanging="567"/>
        <w:jc w:val="both"/>
        <w:rPr>
          <w:rFonts w:cs="Arial"/>
          <w:sz w:val="24"/>
          <w:szCs w:val="24"/>
        </w:rPr>
      </w:pPr>
    </w:p>
    <w:p w14:paraId="4FEAD129" w14:textId="77777777" w:rsidR="0069240C" w:rsidRPr="0069240C" w:rsidRDefault="0069240C" w:rsidP="006A2F03">
      <w:pPr>
        <w:numPr>
          <w:ilvl w:val="1"/>
          <w:numId w:val="39"/>
        </w:numPr>
        <w:ind w:left="1134" w:hanging="567"/>
        <w:jc w:val="both"/>
        <w:rPr>
          <w:rFonts w:cs="Arial"/>
          <w:sz w:val="24"/>
          <w:szCs w:val="24"/>
        </w:rPr>
      </w:pPr>
      <w:r w:rsidRPr="0069240C">
        <w:rPr>
          <w:rFonts w:cs="Arial"/>
          <w:sz w:val="24"/>
          <w:szCs w:val="24"/>
        </w:rPr>
        <w:t xml:space="preserve">The Council has engaged </w:t>
      </w:r>
      <w:r w:rsidRPr="0069240C">
        <w:rPr>
          <w:rFonts w:cs="Arial"/>
          <w:b/>
          <w:sz w:val="24"/>
          <w:szCs w:val="24"/>
        </w:rPr>
        <w:t>external consultants</w:t>
      </w:r>
      <w:r w:rsidRPr="0069240C">
        <w:rPr>
          <w:rFonts w:cs="Arial"/>
          <w:sz w:val="24"/>
          <w:szCs w:val="24"/>
        </w:rPr>
        <w:t>, to provide expert advice on how to optimise an appropriate balance of security, liquidity and yield, given the risk appetite of the Council in the context of the expected level of cash balances and need for liquidity throughout the year.</w:t>
      </w:r>
    </w:p>
    <w:p w14:paraId="7E66EE34" w14:textId="77777777" w:rsidR="0069240C" w:rsidRPr="0069240C" w:rsidRDefault="0069240C" w:rsidP="0069240C">
      <w:pPr>
        <w:ind w:left="1134" w:hanging="567"/>
        <w:rPr>
          <w:rFonts w:cs="Arial"/>
          <w:sz w:val="24"/>
          <w:szCs w:val="24"/>
        </w:rPr>
      </w:pPr>
    </w:p>
    <w:p w14:paraId="4DCD38B3" w14:textId="77777777" w:rsidR="0069240C" w:rsidRPr="0069240C" w:rsidRDefault="0069240C" w:rsidP="006A2F03">
      <w:pPr>
        <w:numPr>
          <w:ilvl w:val="1"/>
          <w:numId w:val="39"/>
        </w:numPr>
        <w:ind w:left="1134" w:hanging="567"/>
        <w:jc w:val="both"/>
        <w:rPr>
          <w:rFonts w:cs="Arial"/>
          <w:color w:val="0D0D0D"/>
          <w:sz w:val="24"/>
          <w:szCs w:val="24"/>
        </w:rPr>
      </w:pPr>
      <w:r w:rsidRPr="0069240C">
        <w:rPr>
          <w:rFonts w:cs="Arial"/>
          <w:color w:val="0D0D0D"/>
          <w:sz w:val="24"/>
          <w:szCs w:val="24"/>
        </w:rPr>
        <w:t xml:space="preserve">All investments will be denominated in </w:t>
      </w:r>
      <w:r w:rsidRPr="0069240C">
        <w:rPr>
          <w:rFonts w:cs="Arial"/>
          <w:b/>
          <w:color w:val="0D0D0D"/>
          <w:sz w:val="24"/>
          <w:szCs w:val="24"/>
        </w:rPr>
        <w:t>sterling</w:t>
      </w:r>
      <w:r w:rsidRPr="0069240C">
        <w:rPr>
          <w:rFonts w:cs="Arial"/>
          <w:color w:val="0D0D0D"/>
          <w:sz w:val="24"/>
          <w:szCs w:val="24"/>
        </w:rPr>
        <w:t>.</w:t>
      </w:r>
    </w:p>
    <w:p w14:paraId="550515F3" w14:textId="77777777" w:rsidR="0069240C" w:rsidRPr="0069240C" w:rsidRDefault="0069240C" w:rsidP="0069240C">
      <w:pPr>
        <w:ind w:left="720"/>
        <w:rPr>
          <w:rFonts w:cs="Arial"/>
          <w:sz w:val="24"/>
          <w:szCs w:val="24"/>
        </w:rPr>
      </w:pPr>
    </w:p>
    <w:p w14:paraId="3F27ECD6" w14:textId="77777777" w:rsidR="0069240C" w:rsidRPr="0069240C" w:rsidRDefault="0069240C" w:rsidP="006A2F03">
      <w:pPr>
        <w:numPr>
          <w:ilvl w:val="1"/>
          <w:numId w:val="39"/>
        </w:numPr>
        <w:ind w:left="1134" w:hanging="567"/>
        <w:jc w:val="both"/>
        <w:rPr>
          <w:rFonts w:cs="Arial"/>
          <w:color w:val="0D0D0D"/>
          <w:sz w:val="24"/>
          <w:szCs w:val="24"/>
        </w:rPr>
      </w:pPr>
      <w:r w:rsidRPr="0069240C">
        <w:rPr>
          <w:rFonts w:cs="Arial"/>
          <w:sz w:val="24"/>
          <w:szCs w:val="24"/>
        </w:rPr>
        <w:t xml:space="preserve">As a result of the change in accounting standards under IFRS 9, this Authority will consider the implications of investment instruments which could result in an adverse movement in the value of the amount invested and resultant charges at the end of the year to the General Fund. (In November 2018, the MHCLG, concluded a consultation for a temporary override to allow English local </w:t>
      </w:r>
      <w:r w:rsidRPr="0069240C">
        <w:rPr>
          <w:rFonts w:cs="Arial"/>
          <w:sz w:val="24"/>
          <w:szCs w:val="24"/>
        </w:rPr>
        <w:lastRenderedPageBreak/>
        <w:t>authorities time to adjust their portfolio of pooled investments by announcing a statutory override to delay implementation of IFRS 9 for five years ending 31.3.23. Subsequently, a further extension to the over-ride to 31.3.29 was agreed by Government</w:t>
      </w:r>
      <w:r w:rsidRPr="0069240C">
        <w:rPr>
          <w:rFonts w:ascii="Calibri" w:hAnsi="Calibri"/>
          <w:sz w:val="22"/>
          <w:szCs w:val="22"/>
        </w:rPr>
        <w:t xml:space="preserve"> </w:t>
      </w:r>
      <w:r w:rsidRPr="0069240C">
        <w:rPr>
          <w:rFonts w:cs="Arial"/>
          <w:sz w:val="24"/>
          <w:szCs w:val="24"/>
        </w:rPr>
        <w:t>but only for those pooled investments made before 1st April 2024</w:t>
      </w:r>
    </w:p>
    <w:p w14:paraId="79B5943F" w14:textId="77777777" w:rsidR="0069240C" w:rsidRPr="0069240C" w:rsidRDefault="0069240C" w:rsidP="0069240C">
      <w:pPr>
        <w:ind w:left="720"/>
        <w:rPr>
          <w:rFonts w:cs="Arial"/>
          <w:sz w:val="24"/>
          <w:szCs w:val="24"/>
        </w:rPr>
      </w:pPr>
    </w:p>
    <w:p w14:paraId="4605322B" w14:textId="77777777" w:rsidR="0069240C" w:rsidRPr="0069240C" w:rsidRDefault="0069240C" w:rsidP="0069240C">
      <w:pPr>
        <w:ind w:left="1134"/>
        <w:jc w:val="both"/>
        <w:rPr>
          <w:rFonts w:cs="Arial"/>
          <w:sz w:val="24"/>
          <w:szCs w:val="24"/>
        </w:rPr>
      </w:pPr>
    </w:p>
    <w:p w14:paraId="50626A12" w14:textId="77777777" w:rsidR="0069240C" w:rsidRPr="0069240C" w:rsidRDefault="0069240C" w:rsidP="0069240C">
      <w:pPr>
        <w:ind w:left="567" w:hanging="567"/>
        <w:jc w:val="both"/>
        <w:rPr>
          <w:rFonts w:cs="Arial"/>
          <w:spacing w:val="-5"/>
          <w:sz w:val="24"/>
          <w:szCs w:val="24"/>
          <w:lang w:eastAsia="en-US"/>
        </w:rPr>
      </w:pPr>
      <w:r w:rsidRPr="0069240C">
        <w:rPr>
          <w:rFonts w:cs="Arial"/>
          <w:spacing w:val="-5"/>
          <w:sz w:val="24"/>
          <w:szCs w:val="24"/>
          <w:lang w:eastAsia="en-US"/>
        </w:rPr>
        <w:tab/>
        <w:t xml:space="preserve">However, the Council will also pursue </w:t>
      </w:r>
      <w:r w:rsidRPr="0069240C">
        <w:rPr>
          <w:rFonts w:cs="Arial"/>
          <w:b/>
          <w:spacing w:val="-5"/>
          <w:sz w:val="24"/>
          <w:szCs w:val="24"/>
          <w:lang w:eastAsia="en-US"/>
        </w:rPr>
        <w:t>value for money</w:t>
      </w:r>
      <w:r w:rsidRPr="0069240C">
        <w:rPr>
          <w:rFonts w:cs="Arial"/>
          <w:spacing w:val="-5"/>
          <w:sz w:val="24"/>
          <w:szCs w:val="24"/>
          <w:lang w:eastAsia="en-US"/>
        </w:rPr>
        <w:t xml:space="preserve"> in treasury management and will monitor the yield from investment income against appropriate benchmarks for investment performance. Regular monitoring of investment performance will be carried out during the year.</w:t>
      </w:r>
    </w:p>
    <w:p w14:paraId="6A8C1532" w14:textId="77777777" w:rsidR="0069240C" w:rsidRPr="0069240C" w:rsidRDefault="0069240C" w:rsidP="0069240C">
      <w:pPr>
        <w:ind w:left="567" w:hanging="567"/>
        <w:jc w:val="both"/>
        <w:rPr>
          <w:rFonts w:cs="Arial"/>
          <w:spacing w:val="-5"/>
          <w:sz w:val="24"/>
          <w:szCs w:val="24"/>
          <w:lang w:eastAsia="en-US"/>
        </w:rPr>
      </w:pPr>
    </w:p>
    <w:p w14:paraId="1B160525" w14:textId="77777777" w:rsidR="0069240C" w:rsidRPr="0069240C" w:rsidRDefault="0069240C" w:rsidP="0069240C">
      <w:pPr>
        <w:ind w:left="567" w:hanging="567"/>
        <w:jc w:val="both"/>
        <w:rPr>
          <w:rFonts w:cs="Arial"/>
          <w:spacing w:val="-5"/>
          <w:sz w:val="24"/>
          <w:szCs w:val="24"/>
          <w:lang w:eastAsia="en-US"/>
        </w:rPr>
      </w:pPr>
    </w:p>
    <w:p w14:paraId="36D01816" w14:textId="77777777" w:rsidR="0069240C" w:rsidRPr="0069240C" w:rsidRDefault="0069240C" w:rsidP="0069240C">
      <w:pPr>
        <w:ind w:left="567" w:hanging="567"/>
        <w:jc w:val="both"/>
        <w:rPr>
          <w:rFonts w:cs="Arial"/>
          <w:spacing w:val="-5"/>
          <w:sz w:val="24"/>
          <w:szCs w:val="24"/>
          <w:highlight w:val="yellow"/>
          <w:lang w:eastAsia="en-US"/>
        </w:rPr>
      </w:pPr>
    </w:p>
    <w:p w14:paraId="6838CDF2" w14:textId="77777777" w:rsidR="0069240C" w:rsidRPr="0069240C" w:rsidRDefault="0069240C" w:rsidP="0069240C">
      <w:pPr>
        <w:ind w:left="567"/>
        <w:jc w:val="both"/>
        <w:rPr>
          <w:rFonts w:cs="Arial"/>
          <w:sz w:val="24"/>
          <w:szCs w:val="24"/>
        </w:rPr>
      </w:pPr>
    </w:p>
    <w:p w14:paraId="6641A177" w14:textId="77777777" w:rsidR="0069240C" w:rsidRPr="0069240C" w:rsidRDefault="0069240C" w:rsidP="0069240C">
      <w:pPr>
        <w:ind w:left="567" w:hanging="567"/>
        <w:jc w:val="both"/>
        <w:rPr>
          <w:rFonts w:cs="Arial"/>
          <w:b/>
          <w:spacing w:val="-5"/>
          <w:sz w:val="24"/>
          <w:szCs w:val="24"/>
          <w:lang w:eastAsia="en-US"/>
        </w:rPr>
      </w:pPr>
      <w:r w:rsidRPr="0069240C">
        <w:rPr>
          <w:rFonts w:cs="Arial"/>
          <w:b/>
          <w:spacing w:val="-5"/>
          <w:sz w:val="24"/>
          <w:szCs w:val="24"/>
          <w:lang w:eastAsia="en-US"/>
        </w:rPr>
        <w:tab/>
        <w:t>Changes in risk management policy from last year</w:t>
      </w:r>
    </w:p>
    <w:p w14:paraId="7EDC494A" w14:textId="77777777" w:rsidR="0069240C" w:rsidRPr="0069240C" w:rsidRDefault="0069240C" w:rsidP="0069240C">
      <w:pPr>
        <w:jc w:val="both"/>
        <w:rPr>
          <w:rFonts w:cs="Arial"/>
          <w:b/>
          <w:spacing w:val="-5"/>
          <w:sz w:val="24"/>
          <w:szCs w:val="24"/>
          <w:lang w:eastAsia="en-US"/>
        </w:rPr>
      </w:pPr>
    </w:p>
    <w:p w14:paraId="63F48DC6" w14:textId="77777777" w:rsidR="0069240C" w:rsidRPr="0069240C" w:rsidRDefault="0069240C" w:rsidP="0069240C">
      <w:pPr>
        <w:ind w:left="567"/>
        <w:jc w:val="both"/>
        <w:rPr>
          <w:rFonts w:cs="Arial"/>
          <w:spacing w:val="-5"/>
          <w:sz w:val="24"/>
          <w:szCs w:val="24"/>
          <w:lang w:eastAsia="en-US"/>
        </w:rPr>
      </w:pPr>
      <w:r w:rsidRPr="0069240C">
        <w:rPr>
          <w:rFonts w:cs="Arial"/>
          <w:spacing w:val="-5"/>
          <w:sz w:val="24"/>
          <w:szCs w:val="24"/>
          <w:lang w:eastAsia="en-US"/>
        </w:rPr>
        <w:t>The risk management policy is in line with the policy which was unchanged from the previous year.</w:t>
      </w:r>
    </w:p>
    <w:p w14:paraId="37EFC25E" w14:textId="77777777" w:rsidR="0069240C" w:rsidRPr="0069240C" w:rsidRDefault="0069240C" w:rsidP="0069240C">
      <w:pPr>
        <w:ind w:left="567"/>
        <w:jc w:val="both"/>
        <w:rPr>
          <w:rFonts w:cs="Arial"/>
          <w:spacing w:val="-5"/>
          <w:sz w:val="24"/>
          <w:szCs w:val="24"/>
          <w:lang w:eastAsia="en-US"/>
        </w:rPr>
      </w:pPr>
    </w:p>
    <w:p w14:paraId="04005709" w14:textId="5DA79B79" w:rsidR="0069240C" w:rsidRPr="0069240C" w:rsidRDefault="0069240C" w:rsidP="0069240C">
      <w:pPr>
        <w:ind w:left="567" w:hanging="567"/>
        <w:jc w:val="both"/>
        <w:rPr>
          <w:rFonts w:cs="Arial"/>
          <w:b/>
          <w:sz w:val="24"/>
          <w:szCs w:val="24"/>
          <w:lang w:eastAsia="en-US"/>
        </w:rPr>
      </w:pPr>
      <w:r>
        <w:rPr>
          <w:rFonts w:cs="Arial"/>
          <w:b/>
          <w:sz w:val="24"/>
          <w:szCs w:val="24"/>
          <w:lang w:eastAsia="en-US"/>
        </w:rPr>
        <w:t>4.6</w:t>
      </w:r>
      <w:r w:rsidRPr="0069240C">
        <w:rPr>
          <w:rFonts w:cs="Arial"/>
          <w:b/>
          <w:sz w:val="24"/>
          <w:szCs w:val="24"/>
          <w:lang w:eastAsia="en-US"/>
        </w:rPr>
        <w:tab/>
        <w:t>Creditworthiness policy</w:t>
      </w:r>
    </w:p>
    <w:p w14:paraId="1C17A14E" w14:textId="77777777" w:rsidR="0069240C" w:rsidRPr="0069240C" w:rsidRDefault="0069240C" w:rsidP="0069240C">
      <w:pPr>
        <w:ind w:left="567" w:hanging="567"/>
        <w:jc w:val="both"/>
        <w:rPr>
          <w:rFonts w:cs="Arial"/>
          <w:b/>
          <w:sz w:val="24"/>
          <w:szCs w:val="24"/>
          <w:lang w:eastAsia="en-US"/>
        </w:rPr>
      </w:pPr>
    </w:p>
    <w:p w14:paraId="5193E72E" w14:textId="77777777" w:rsidR="0069240C" w:rsidRPr="0069240C" w:rsidRDefault="0069240C" w:rsidP="0069240C">
      <w:pPr>
        <w:ind w:left="567" w:hanging="567"/>
        <w:jc w:val="both"/>
        <w:rPr>
          <w:rFonts w:cs="Arial"/>
          <w:spacing w:val="-5"/>
          <w:sz w:val="24"/>
          <w:szCs w:val="24"/>
          <w:lang w:eastAsia="en-US"/>
        </w:rPr>
      </w:pPr>
      <w:r w:rsidRPr="0069240C">
        <w:rPr>
          <w:rFonts w:cs="Arial"/>
          <w:spacing w:val="-5"/>
          <w:sz w:val="24"/>
          <w:szCs w:val="24"/>
          <w:lang w:eastAsia="en-US"/>
        </w:rPr>
        <w:tab/>
        <w:t xml:space="preserve">The Council applies the creditworthiness service provided by the MUFG Corporate Markets. This service employs a sophisticated modelling approach utilising credit ratings from the three main credit rating agencies - Fitch, Moody’s and Standard &amp; Poor’s.  The credit ratings of counterparties are supplemented with the following overlays: </w:t>
      </w:r>
    </w:p>
    <w:p w14:paraId="3218B23E" w14:textId="77777777" w:rsidR="0069240C" w:rsidRPr="0069240C" w:rsidRDefault="0069240C" w:rsidP="0069240C">
      <w:pPr>
        <w:ind w:left="567" w:hanging="567"/>
        <w:jc w:val="both"/>
        <w:rPr>
          <w:rFonts w:cs="Arial"/>
          <w:spacing w:val="-5"/>
          <w:sz w:val="24"/>
          <w:szCs w:val="24"/>
          <w:lang w:eastAsia="en-US"/>
        </w:rPr>
      </w:pPr>
    </w:p>
    <w:p w14:paraId="787AC8E4" w14:textId="77777777" w:rsidR="0069240C" w:rsidRPr="0069240C" w:rsidRDefault="0069240C" w:rsidP="006A2F03">
      <w:pPr>
        <w:numPr>
          <w:ilvl w:val="0"/>
          <w:numId w:val="41"/>
        </w:numPr>
        <w:ind w:left="1134" w:hanging="567"/>
        <w:jc w:val="both"/>
        <w:rPr>
          <w:rFonts w:cs="Arial"/>
          <w:sz w:val="24"/>
          <w:szCs w:val="24"/>
        </w:rPr>
      </w:pPr>
      <w:r w:rsidRPr="0069240C">
        <w:rPr>
          <w:rFonts w:cs="Arial"/>
          <w:sz w:val="24"/>
          <w:szCs w:val="24"/>
        </w:rPr>
        <w:t xml:space="preserve">“watches” and “outlooks” from credit rating </w:t>
      </w:r>
      <w:proofErr w:type="gramStart"/>
      <w:r w:rsidRPr="0069240C">
        <w:rPr>
          <w:rFonts w:cs="Arial"/>
          <w:sz w:val="24"/>
          <w:szCs w:val="24"/>
        </w:rPr>
        <w:t>agencies;</w:t>
      </w:r>
      <w:proofErr w:type="gramEnd"/>
    </w:p>
    <w:p w14:paraId="1979C0E7" w14:textId="77777777" w:rsidR="0069240C" w:rsidRPr="0069240C" w:rsidRDefault="0069240C" w:rsidP="0069240C">
      <w:pPr>
        <w:ind w:left="1134"/>
        <w:jc w:val="both"/>
        <w:rPr>
          <w:rFonts w:cs="Arial"/>
          <w:sz w:val="24"/>
          <w:szCs w:val="24"/>
        </w:rPr>
      </w:pPr>
    </w:p>
    <w:p w14:paraId="6EEA0AF3" w14:textId="77777777" w:rsidR="0069240C" w:rsidRPr="0069240C" w:rsidRDefault="0069240C" w:rsidP="006A2F03">
      <w:pPr>
        <w:numPr>
          <w:ilvl w:val="0"/>
          <w:numId w:val="41"/>
        </w:numPr>
        <w:ind w:left="1134" w:hanging="567"/>
        <w:jc w:val="both"/>
        <w:rPr>
          <w:rFonts w:cs="Arial"/>
          <w:sz w:val="24"/>
          <w:szCs w:val="24"/>
        </w:rPr>
      </w:pPr>
      <w:r w:rsidRPr="0069240C">
        <w:rPr>
          <w:rFonts w:cs="Arial"/>
          <w:sz w:val="24"/>
          <w:szCs w:val="24"/>
        </w:rPr>
        <w:t>CDS spreads that may give early warning of likely changes in credit ratings; and</w:t>
      </w:r>
    </w:p>
    <w:p w14:paraId="23B2EC7D" w14:textId="77777777" w:rsidR="0069240C" w:rsidRPr="0069240C" w:rsidRDefault="0069240C" w:rsidP="0069240C">
      <w:pPr>
        <w:jc w:val="both"/>
        <w:rPr>
          <w:rFonts w:cs="Arial"/>
          <w:spacing w:val="-5"/>
          <w:sz w:val="24"/>
          <w:szCs w:val="24"/>
          <w:lang w:eastAsia="en-US"/>
        </w:rPr>
      </w:pPr>
    </w:p>
    <w:p w14:paraId="22273394" w14:textId="77777777" w:rsidR="0069240C" w:rsidRPr="0069240C" w:rsidRDefault="0069240C" w:rsidP="006A2F03">
      <w:pPr>
        <w:numPr>
          <w:ilvl w:val="0"/>
          <w:numId w:val="41"/>
        </w:numPr>
        <w:ind w:left="1134" w:hanging="567"/>
        <w:jc w:val="both"/>
        <w:rPr>
          <w:rFonts w:cs="Arial"/>
          <w:sz w:val="24"/>
          <w:szCs w:val="24"/>
        </w:rPr>
      </w:pPr>
      <w:r w:rsidRPr="0069240C">
        <w:rPr>
          <w:rFonts w:cs="Arial"/>
          <w:sz w:val="24"/>
          <w:szCs w:val="24"/>
        </w:rPr>
        <w:t>sovereign ratings to select counterparties from only the most creditworthy countries.</w:t>
      </w:r>
    </w:p>
    <w:p w14:paraId="54F28922" w14:textId="77777777" w:rsidR="0069240C" w:rsidRPr="0069240C" w:rsidRDefault="0069240C" w:rsidP="0069240C">
      <w:pPr>
        <w:ind w:left="567" w:hanging="567"/>
        <w:jc w:val="both"/>
        <w:rPr>
          <w:rFonts w:cs="Arial"/>
          <w:spacing w:val="-5"/>
          <w:sz w:val="22"/>
          <w:szCs w:val="22"/>
          <w:lang w:eastAsia="en-US"/>
        </w:rPr>
      </w:pPr>
    </w:p>
    <w:p w14:paraId="7783CB6B" w14:textId="77777777" w:rsidR="0069240C" w:rsidRPr="0069240C" w:rsidRDefault="0069240C" w:rsidP="0069240C">
      <w:pPr>
        <w:tabs>
          <w:tab w:val="left" w:pos="1985"/>
        </w:tabs>
        <w:ind w:left="567" w:hanging="567"/>
        <w:jc w:val="both"/>
        <w:rPr>
          <w:rFonts w:cs="Arial"/>
          <w:spacing w:val="-5"/>
          <w:sz w:val="24"/>
          <w:szCs w:val="24"/>
          <w:lang w:eastAsia="en-US"/>
        </w:rPr>
      </w:pPr>
      <w:r w:rsidRPr="0069240C">
        <w:rPr>
          <w:rFonts w:cs="Arial"/>
          <w:spacing w:val="-5"/>
          <w:sz w:val="24"/>
          <w:szCs w:val="24"/>
          <w:lang w:eastAsia="en-US"/>
        </w:rPr>
        <w:tab/>
        <w:t xml:space="preserve">This modelling approach combines credit ratings, and any assigned Watches and Outlooks in a weighted scoring system which is then combined with an overlay of CDS spreads. The </w:t>
      </w:r>
      <w:proofErr w:type="gramStart"/>
      <w:r w:rsidRPr="0069240C">
        <w:rPr>
          <w:rFonts w:cs="Arial"/>
          <w:spacing w:val="-5"/>
          <w:sz w:val="24"/>
          <w:szCs w:val="24"/>
          <w:lang w:eastAsia="en-US"/>
        </w:rPr>
        <w:t>end product</w:t>
      </w:r>
      <w:proofErr w:type="gramEnd"/>
      <w:r w:rsidRPr="0069240C">
        <w:rPr>
          <w:rFonts w:cs="Arial"/>
          <w:spacing w:val="-5"/>
          <w:sz w:val="24"/>
          <w:szCs w:val="24"/>
          <w:lang w:eastAsia="en-US"/>
        </w:rPr>
        <w:t xml:space="preserve"> of this is a series of colour coded bands which indicate the relative creditworthiness of counterparties. These colour codes are used by the Council to determine the suggested duration for investments.</w:t>
      </w:r>
      <w:r w:rsidRPr="0069240C">
        <w:rPr>
          <w:spacing w:val="-5"/>
          <w:lang w:eastAsia="en-US"/>
        </w:rPr>
        <w:t xml:space="preserve"> </w:t>
      </w:r>
    </w:p>
    <w:p w14:paraId="161FC18F" w14:textId="77777777" w:rsidR="0069240C" w:rsidRPr="0069240C" w:rsidRDefault="0069240C" w:rsidP="0069240C">
      <w:pPr>
        <w:tabs>
          <w:tab w:val="left" w:pos="1985"/>
        </w:tabs>
        <w:ind w:left="567" w:hanging="567"/>
        <w:rPr>
          <w:rFonts w:cs="Arial"/>
          <w:spacing w:val="-5"/>
          <w:sz w:val="24"/>
          <w:szCs w:val="24"/>
          <w:lang w:eastAsia="en-US"/>
        </w:rPr>
      </w:pPr>
    </w:p>
    <w:p w14:paraId="5B513DD3" w14:textId="77777777" w:rsidR="0069240C" w:rsidRPr="0069240C" w:rsidRDefault="0069240C" w:rsidP="0069240C">
      <w:pPr>
        <w:tabs>
          <w:tab w:val="left" w:pos="0"/>
        </w:tabs>
        <w:ind w:left="567" w:hanging="567"/>
        <w:jc w:val="both"/>
        <w:rPr>
          <w:rFonts w:cs="Arial"/>
          <w:spacing w:val="-5"/>
          <w:sz w:val="24"/>
          <w:szCs w:val="24"/>
          <w:lang w:eastAsia="en-US"/>
        </w:rPr>
      </w:pPr>
      <w:r w:rsidRPr="0069240C">
        <w:rPr>
          <w:rFonts w:cs="Arial"/>
          <w:spacing w:val="-5"/>
          <w:sz w:val="24"/>
          <w:szCs w:val="24"/>
          <w:lang w:eastAsia="en-US"/>
        </w:rPr>
        <w:tab/>
        <w:t>The MUFG Corporate Markets creditworthiness service uses a wider array of information other than just primary ratings. Furthermore, by using a risk weighted scoring system, it does not give undue preponderance to just one agency’s ratings.</w:t>
      </w:r>
    </w:p>
    <w:p w14:paraId="56BDAE4E" w14:textId="77777777" w:rsidR="0069240C" w:rsidRPr="0069240C" w:rsidRDefault="0069240C" w:rsidP="0069240C">
      <w:pPr>
        <w:numPr>
          <w:ilvl w:val="12"/>
          <w:numId w:val="0"/>
        </w:numPr>
        <w:tabs>
          <w:tab w:val="left" w:pos="0"/>
        </w:tabs>
        <w:ind w:left="567" w:hanging="567"/>
        <w:jc w:val="both"/>
        <w:rPr>
          <w:rFonts w:cs="Arial"/>
          <w:spacing w:val="-5"/>
          <w:sz w:val="24"/>
          <w:szCs w:val="24"/>
          <w:lang w:eastAsia="en-US"/>
        </w:rPr>
      </w:pPr>
    </w:p>
    <w:p w14:paraId="45D4BA55" w14:textId="77777777" w:rsidR="0069240C" w:rsidRPr="0069240C" w:rsidRDefault="0069240C" w:rsidP="0069240C">
      <w:pPr>
        <w:ind w:left="567" w:hanging="567"/>
        <w:jc w:val="both"/>
        <w:rPr>
          <w:rFonts w:cs="Arial"/>
          <w:spacing w:val="-5"/>
          <w:sz w:val="24"/>
          <w:szCs w:val="24"/>
          <w:lang w:eastAsia="en-US"/>
        </w:rPr>
      </w:pPr>
      <w:r w:rsidRPr="0069240C">
        <w:rPr>
          <w:rFonts w:cs="Arial"/>
          <w:spacing w:val="-5"/>
          <w:sz w:val="24"/>
          <w:szCs w:val="24"/>
          <w:lang w:eastAsia="en-US"/>
        </w:rPr>
        <w:tab/>
        <w:t xml:space="preserve">Typically, the minimum credit ratings criteria the Council use will be a </w:t>
      </w:r>
      <w:proofErr w:type="gramStart"/>
      <w:r w:rsidRPr="0069240C">
        <w:rPr>
          <w:rFonts w:cs="Arial"/>
          <w:spacing w:val="-5"/>
          <w:sz w:val="24"/>
          <w:szCs w:val="24"/>
          <w:lang w:eastAsia="en-US"/>
        </w:rPr>
        <w:t>short term</w:t>
      </w:r>
      <w:proofErr w:type="gramEnd"/>
      <w:r w:rsidRPr="0069240C">
        <w:rPr>
          <w:rFonts w:cs="Arial"/>
          <w:spacing w:val="-5"/>
          <w:sz w:val="24"/>
          <w:szCs w:val="24"/>
          <w:lang w:eastAsia="en-US"/>
        </w:rPr>
        <w:t xml:space="preserve"> rating (Fitch or equivalents) of F1 and a </w:t>
      </w:r>
      <w:proofErr w:type="gramStart"/>
      <w:r w:rsidRPr="0069240C">
        <w:rPr>
          <w:rFonts w:cs="Arial"/>
          <w:spacing w:val="-5"/>
          <w:sz w:val="24"/>
          <w:szCs w:val="24"/>
          <w:lang w:eastAsia="en-US"/>
        </w:rPr>
        <w:t>long term</w:t>
      </w:r>
      <w:proofErr w:type="gramEnd"/>
      <w:r w:rsidRPr="0069240C">
        <w:rPr>
          <w:rFonts w:cs="Arial"/>
          <w:spacing w:val="-5"/>
          <w:sz w:val="24"/>
          <w:szCs w:val="24"/>
          <w:lang w:eastAsia="en-US"/>
        </w:rPr>
        <w:t xml:space="preserve"> rating of A-. There may be occasions when the counterparty ratings from one rating agency are marginally lower than these ratings but may still be used.  In these instances, consideration will be given to the whole range of ratings available, or other topical market information, to support their use.</w:t>
      </w:r>
    </w:p>
    <w:p w14:paraId="0CFD1A1C" w14:textId="77777777" w:rsidR="0069240C" w:rsidRPr="0069240C" w:rsidRDefault="0069240C" w:rsidP="0069240C">
      <w:pPr>
        <w:ind w:left="567" w:hanging="567"/>
        <w:rPr>
          <w:rFonts w:cs="Arial"/>
          <w:sz w:val="24"/>
          <w:szCs w:val="24"/>
        </w:rPr>
      </w:pPr>
    </w:p>
    <w:p w14:paraId="64DF65BB" w14:textId="77777777" w:rsidR="0069240C" w:rsidRPr="0069240C" w:rsidRDefault="0069240C" w:rsidP="0069240C">
      <w:pPr>
        <w:ind w:left="567" w:hanging="567"/>
        <w:jc w:val="both"/>
        <w:rPr>
          <w:rFonts w:cs="Arial"/>
          <w:spacing w:val="-5"/>
          <w:sz w:val="24"/>
          <w:szCs w:val="24"/>
          <w:lang w:eastAsia="en-US"/>
        </w:rPr>
      </w:pPr>
      <w:r w:rsidRPr="0069240C">
        <w:rPr>
          <w:rFonts w:cs="Arial"/>
          <w:spacing w:val="-5"/>
          <w:sz w:val="24"/>
          <w:szCs w:val="24"/>
          <w:lang w:eastAsia="en-US"/>
        </w:rPr>
        <w:tab/>
        <w:t>All credit ratings will be monitored daily</w:t>
      </w:r>
      <w:r w:rsidRPr="0069240C">
        <w:rPr>
          <w:rFonts w:cs="Arial"/>
          <w:i/>
          <w:color w:val="0000FF"/>
          <w:spacing w:val="-5"/>
          <w:sz w:val="24"/>
          <w:szCs w:val="24"/>
          <w:lang w:eastAsia="en-US"/>
        </w:rPr>
        <w:t>.</w:t>
      </w:r>
      <w:r w:rsidRPr="0069240C">
        <w:rPr>
          <w:rFonts w:cs="Arial"/>
          <w:spacing w:val="-5"/>
          <w:sz w:val="24"/>
          <w:szCs w:val="24"/>
          <w:lang w:eastAsia="en-US"/>
        </w:rPr>
        <w:t xml:space="preserve"> The Council is alerted to changes to ratings of all three agencies through its use of the MUFG Corporate Markets creditworthiness service.</w:t>
      </w:r>
    </w:p>
    <w:p w14:paraId="694EB4A9" w14:textId="77777777" w:rsidR="0069240C" w:rsidRPr="0069240C" w:rsidRDefault="0069240C" w:rsidP="0069240C">
      <w:pPr>
        <w:numPr>
          <w:ilvl w:val="12"/>
          <w:numId w:val="0"/>
        </w:numPr>
        <w:tabs>
          <w:tab w:val="left" w:pos="0"/>
        </w:tabs>
        <w:ind w:left="567" w:hanging="567"/>
        <w:jc w:val="both"/>
        <w:rPr>
          <w:rFonts w:cs="Arial"/>
          <w:spacing w:val="-5"/>
          <w:sz w:val="24"/>
          <w:szCs w:val="24"/>
          <w:lang w:eastAsia="en-US"/>
        </w:rPr>
      </w:pPr>
    </w:p>
    <w:p w14:paraId="0B75AFA8" w14:textId="77777777" w:rsidR="0069240C" w:rsidRPr="0069240C" w:rsidRDefault="0069240C" w:rsidP="0069240C">
      <w:pPr>
        <w:tabs>
          <w:tab w:val="left" w:pos="0"/>
        </w:tabs>
        <w:ind w:left="567" w:hanging="567"/>
        <w:jc w:val="both"/>
        <w:rPr>
          <w:rFonts w:cs="Arial"/>
          <w:spacing w:val="-5"/>
          <w:sz w:val="24"/>
          <w:szCs w:val="24"/>
          <w:lang w:eastAsia="en-US"/>
        </w:rPr>
      </w:pPr>
      <w:r w:rsidRPr="0069240C">
        <w:rPr>
          <w:rFonts w:cs="Arial"/>
          <w:spacing w:val="-5"/>
          <w:sz w:val="24"/>
          <w:szCs w:val="24"/>
          <w:lang w:eastAsia="en-US"/>
        </w:rPr>
        <w:lastRenderedPageBreak/>
        <w:tab/>
        <w:t>If a downgrade results in the counterparty / investment scheme no longer meeting the Council’s minimum criteria, its further use as a new investment will be withdrawn immediately.</w:t>
      </w:r>
    </w:p>
    <w:p w14:paraId="3CE087F7" w14:textId="77777777" w:rsidR="0069240C" w:rsidRPr="0069240C" w:rsidRDefault="0069240C" w:rsidP="0069240C">
      <w:pPr>
        <w:tabs>
          <w:tab w:val="left" w:pos="0"/>
        </w:tabs>
        <w:ind w:left="567" w:hanging="567"/>
        <w:jc w:val="both"/>
        <w:rPr>
          <w:rFonts w:cs="Arial"/>
          <w:spacing w:val="-5"/>
          <w:sz w:val="24"/>
          <w:szCs w:val="24"/>
          <w:lang w:eastAsia="en-US"/>
        </w:rPr>
      </w:pPr>
    </w:p>
    <w:p w14:paraId="0CCCD099" w14:textId="77777777" w:rsidR="0069240C" w:rsidRPr="0069240C" w:rsidRDefault="0069240C" w:rsidP="0069240C">
      <w:pPr>
        <w:tabs>
          <w:tab w:val="left" w:pos="567"/>
        </w:tabs>
        <w:ind w:left="567" w:hanging="567"/>
        <w:jc w:val="both"/>
        <w:rPr>
          <w:rFonts w:cs="Arial"/>
          <w:spacing w:val="-5"/>
          <w:sz w:val="24"/>
          <w:szCs w:val="24"/>
          <w:lang w:eastAsia="en-US"/>
        </w:rPr>
      </w:pPr>
      <w:r w:rsidRPr="0069240C">
        <w:rPr>
          <w:rFonts w:cs="Arial"/>
          <w:spacing w:val="-5"/>
          <w:sz w:val="24"/>
          <w:szCs w:val="24"/>
          <w:lang w:eastAsia="en-US"/>
        </w:rPr>
        <w:tab/>
        <w:t xml:space="preserve">In addition to the use of credit ratings the Council will be advised of information in movements in Credit Default Swap (CDS) spreads against the </w:t>
      </w:r>
      <w:proofErr w:type="spellStart"/>
      <w:r w:rsidRPr="0069240C">
        <w:rPr>
          <w:rFonts w:cs="Arial"/>
          <w:spacing w:val="-5"/>
          <w:sz w:val="24"/>
          <w:szCs w:val="24"/>
          <w:lang w:eastAsia="en-US"/>
        </w:rPr>
        <w:t>iTraxx</w:t>
      </w:r>
      <w:proofErr w:type="spellEnd"/>
      <w:r w:rsidRPr="0069240C">
        <w:rPr>
          <w:rFonts w:cs="Arial"/>
          <w:spacing w:val="-5"/>
          <w:sz w:val="24"/>
          <w:szCs w:val="24"/>
          <w:lang w:eastAsia="en-US"/>
        </w:rPr>
        <w:t xml:space="preserve"> European Financials benchmark and other market data </w:t>
      </w:r>
      <w:proofErr w:type="gramStart"/>
      <w:r w:rsidRPr="0069240C">
        <w:rPr>
          <w:rFonts w:cs="Arial"/>
          <w:spacing w:val="-5"/>
          <w:sz w:val="24"/>
          <w:szCs w:val="24"/>
          <w:lang w:eastAsia="en-US"/>
        </w:rPr>
        <w:t>on a daily basis</w:t>
      </w:r>
      <w:proofErr w:type="gramEnd"/>
      <w:r w:rsidRPr="0069240C">
        <w:rPr>
          <w:rFonts w:cs="Arial"/>
          <w:spacing w:val="-5"/>
          <w:sz w:val="24"/>
          <w:szCs w:val="24"/>
          <w:lang w:eastAsia="en-US"/>
        </w:rPr>
        <w:t xml:space="preserve"> via its </w:t>
      </w:r>
      <w:proofErr w:type="gramStart"/>
      <w:r w:rsidRPr="0069240C">
        <w:rPr>
          <w:rFonts w:cs="Arial"/>
          <w:spacing w:val="-5"/>
          <w:sz w:val="24"/>
          <w:szCs w:val="24"/>
          <w:lang w:eastAsia="en-US"/>
        </w:rPr>
        <w:t>Passport</w:t>
      </w:r>
      <w:proofErr w:type="gramEnd"/>
      <w:r w:rsidRPr="0069240C">
        <w:rPr>
          <w:rFonts w:cs="Arial"/>
          <w:spacing w:val="-5"/>
          <w:sz w:val="24"/>
          <w:szCs w:val="24"/>
          <w:lang w:eastAsia="en-US"/>
        </w:rPr>
        <w:t xml:space="preserve"> website, provided exclusively to it by MUFG Corporate Markets. Extreme market movements may result in downgrade of an institution or removal from the Council’s lending list.</w:t>
      </w:r>
    </w:p>
    <w:p w14:paraId="286B2419" w14:textId="77777777" w:rsidR="0069240C" w:rsidRPr="0069240C" w:rsidRDefault="0069240C" w:rsidP="0069240C">
      <w:pPr>
        <w:tabs>
          <w:tab w:val="left" w:pos="567"/>
        </w:tabs>
        <w:ind w:left="567" w:hanging="567"/>
        <w:jc w:val="both"/>
        <w:rPr>
          <w:rFonts w:cs="Arial"/>
          <w:sz w:val="24"/>
          <w:szCs w:val="24"/>
        </w:rPr>
      </w:pPr>
    </w:p>
    <w:p w14:paraId="3154947F" w14:textId="77777777" w:rsidR="0069240C" w:rsidRPr="0069240C" w:rsidRDefault="0069240C" w:rsidP="0069240C">
      <w:pPr>
        <w:ind w:left="567" w:hanging="567"/>
        <w:jc w:val="both"/>
        <w:rPr>
          <w:rFonts w:cs="Arial"/>
          <w:spacing w:val="-5"/>
          <w:sz w:val="24"/>
          <w:szCs w:val="24"/>
          <w:lang w:eastAsia="en-US"/>
        </w:rPr>
      </w:pPr>
      <w:r w:rsidRPr="0069240C">
        <w:rPr>
          <w:rFonts w:cs="Arial"/>
          <w:spacing w:val="-5"/>
          <w:sz w:val="24"/>
          <w:szCs w:val="24"/>
          <w:lang w:eastAsia="en-US"/>
        </w:rPr>
        <w:tab/>
        <w:t xml:space="preserve">Sole reliance will not be placed on the use of this external service.  In addition, the Council will also use market data and market information, as well as information on any external support for banks to help support its decision-making process. </w:t>
      </w:r>
    </w:p>
    <w:p w14:paraId="14D19592" w14:textId="77777777" w:rsidR="0069240C" w:rsidRPr="0069240C" w:rsidRDefault="0069240C" w:rsidP="0069240C">
      <w:pPr>
        <w:ind w:left="567" w:hanging="567"/>
        <w:jc w:val="both"/>
        <w:rPr>
          <w:rFonts w:cs="Arial"/>
          <w:b/>
          <w:sz w:val="24"/>
          <w:szCs w:val="24"/>
          <w:lang w:eastAsia="en-US"/>
        </w:rPr>
      </w:pPr>
    </w:p>
    <w:p w14:paraId="4763B5D0" w14:textId="77777777" w:rsidR="0069240C" w:rsidRPr="0069240C" w:rsidRDefault="0069240C" w:rsidP="0069240C">
      <w:pPr>
        <w:ind w:left="567" w:hanging="567"/>
        <w:jc w:val="both"/>
        <w:rPr>
          <w:rFonts w:cs="Arial"/>
          <w:bCs/>
          <w:iCs/>
          <w:noProof/>
          <w:sz w:val="24"/>
          <w:szCs w:val="24"/>
          <w:lang w:eastAsia="en-US"/>
        </w:rPr>
      </w:pPr>
      <w:r w:rsidRPr="0069240C">
        <w:rPr>
          <w:rFonts w:cs="Arial"/>
          <w:b/>
          <w:sz w:val="24"/>
          <w:szCs w:val="24"/>
          <w:lang w:eastAsia="en-US"/>
        </w:rPr>
        <w:tab/>
      </w:r>
      <w:r w:rsidRPr="0069240C">
        <w:rPr>
          <w:rFonts w:cs="Arial"/>
          <w:b/>
          <w:bCs/>
          <w:iCs/>
          <w:noProof/>
          <w:sz w:val="24"/>
          <w:szCs w:val="24"/>
          <w:lang w:eastAsia="en-US"/>
        </w:rPr>
        <w:t>Creditworthiness</w:t>
      </w:r>
    </w:p>
    <w:p w14:paraId="5742DA1B" w14:textId="77777777" w:rsidR="0069240C" w:rsidRPr="0069240C" w:rsidRDefault="0069240C" w:rsidP="0069240C">
      <w:pPr>
        <w:ind w:left="567" w:hanging="567"/>
        <w:jc w:val="both"/>
        <w:rPr>
          <w:rFonts w:cs="Arial"/>
          <w:iCs/>
          <w:spacing w:val="-5"/>
          <w:sz w:val="24"/>
          <w:szCs w:val="24"/>
          <w:lang w:eastAsia="en-US"/>
        </w:rPr>
      </w:pPr>
      <w:r w:rsidRPr="0069240C">
        <w:rPr>
          <w:rFonts w:cs="Arial"/>
          <w:iCs/>
          <w:spacing w:val="-5"/>
          <w:sz w:val="24"/>
          <w:szCs w:val="24"/>
          <w:lang w:eastAsia="en-US"/>
        </w:rPr>
        <w:tab/>
        <w:t>Significant levels of downgrades to Short- and Long-Term credit ratings have not materialised since the pandemic in March 2020. In the main, where they did change, any alterations were limited to Outlooks. Nonetheless, when setting minimum sovereign debt ratings, this Authority will not set a minimum rating for the UK.</w:t>
      </w:r>
    </w:p>
    <w:p w14:paraId="3AB62D14" w14:textId="77777777" w:rsidR="0069240C" w:rsidRPr="0069240C" w:rsidRDefault="0069240C" w:rsidP="0069240C">
      <w:pPr>
        <w:ind w:left="567" w:hanging="567"/>
        <w:jc w:val="both"/>
        <w:rPr>
          <w:rFonts w:cs="Arial"/>
          <w:iCs/>
          <w:spacing w:val="-5"/>
          <w:sz w:val="24"/>
          <w:szCs w:val="24"/>
          <w:lang w:eastAsia="en-US"/>
        </w:rPr>
      </w:pPr>
    </w:p>
    <w:p w14:paraId="79EC27FC" w14:textId="77777777" w:rsidR="0069240C" w:rsidRPr="0069240C" w:rsidRDefault="0069240C" w:rsidP="0069240C">
      <w:pPr>
        <w:ind w:left="567" w:hanging="567"/>
        <w:jc w:val="both"/>
        <w:rPr>
          <w:rFonts w:cs="Arial"/>
          <w:b/>
          <w:bCs/>
          <w:iCs/>
          <w:spacing w:val="-5"/>
          <w:sz w:val="24"/>
          <w:szCs w:val="24"/>
          <w:lang w:eastAsia="en-US"/>
        </w:rPr>
      </w:pPr>
      <w:r w:rsidRPr="0069240C">
        <w:rPr>
          <w:rFonts w:cs="Arial"/>
          <w:iCs/>
          <w:spacing w:val="-5"/>
          <w:sz w:val="24"/>
          <w:szCs w:val="24"/>
          <w:lang w:eastAsia="en-US"/>
        </w:rPr>
        <w:tab/>
      </w:r>
      <w:r w:rsidRPr="0069240C">
        <w:rPr>
          <w:rFonts w:cs="Arial"/>
          <w:b/>
          <w:bCs/>
          <w:iCs/>
          <w:spacing w:val="-5"/>
          <w:sz w:val="24"/>
          <w:szCs w:val="24"/>
          <w:lang w:eastAsia="en-US"/>
        </w:rPr>
        <w:t>CDS prices</w:t>
      </w:r>
    </w:p>
    <w:p w14:paraId="73C6F8F0" w14:textId="77777777" w:rsidR="0069240C" w:rsidRPr="0069240C" w:rsidRDefault="0069240C" w:rsidP="0069240C">
      <w:pPr>
        <w:ind w:left="567" w:hanging="567"/>
        <w:jc w:val="both"/>
        <w:rPr>
          <w:rFonts w:cs="Arial"/>
          <w:iCs/>
          <w:spacing w:val="-5"/>
          <w:sz w:val="24"/>
          <w:szCs w:val="24"/>
          <w:lang w:eastAsia="en-US"/>
        </w:rPr>
      </w:pPr>
      <w:r w:rsidRPr="0069240C">
        <w:rPr>
          <w:rFonts w:cs="Arial"/>
          <w:iCs/>
          <w:spacing w:val="-5"/>
          <w:sz w:val="24"/>
          <w:szCs w:val="24"/>
          <w:lang w:eastAsia="en-US"/>
        </w:rPr>
        <w:tab/>
        <w:t>Although bank CDS prices, (these are market indicators of credit risk), spiked upwards during the days of the Truss/Kwarteng government in the autumn of 2022, they have returned to more average levels since then. However, sentiment can easily shift, so it will remain important to undertake continual monitoring of all aspects of risk and return in the current circumstances. MUFG Corporate Markets monitor CDS prices as part of their creditworthiness service to local authorities and the Authority has access to this information via its MUFG Corporate Markets-provided Passport portal.</w:t>
      </w:r>
    </w:p>
    <w:p w14:paraId="3348FBE9" w14:textId="77777777" w:rsidR="0069240C" w:rsidRPr="0069240C" w:rsidRDefault="0069240C" w:rsidP="0069240C">
      <w:pPr>
        <w:ind w:left="567" w:hanging="567"/>
        <w:jc w:val="both"/>
        <w:rPr>
          <w:rFonts w:cs="Arial"/>
          <w:iCs/>
          <w:spacing w:val="-5"/>
          <w:sz w:val="24"/>
          <w:szCs w:val="24"/>
          <w:lang w:eastAsia="en-US"/>
        </w:rPr>
      </w:pPr>
    </w:p>
    <w:p w14:paraId="11F4E2B4" w14:textId="77777777" w:rsidR="0069240C" w:rsidRPr="0069240C" w:rsidRDefault="0069240C" w:rsidP="0069240C">
      <w:pPr>
        <w:ind w:left="567" w:hanging="567"/>
        <w:jc w:val="both"/>
        <w:rPr>
          <w:rFonts w:cs="Arial"/>
          <w:b/>
          <w:bCs/>
          <w:iCs/>
          <w:spacing w:val="-5"/>
          <w:sz w:val="24"/>
          <w:szCs w:val="24"/>
          <w:lang w:eastAsia="en-US"/>
        </w:rPr>
      </w:pPr>
      <w:r w:rsidRPr="0069240C">
        <w:rPr>
          <w:rFonts w:cs="Arial"/>
          <w:b/>
          <w:bCs/>
          <w:iCs/>
          <w:spacing w:val="-5"/>
          <w:sz w:val="24"/>
          <w:szCs w:val="24"/>
          <w:lang w:eastAsia="en-US"/>
        </w:rPr>
        <w:tab/>
        <w:t>Environmental, social and governance (ESG)</w:t>
      </w:r>
    </w:p>
    <w:p w14:paraId="7AA9CAAF" w14:textId="77777777" w:rsidR="0069240C" w:rsidRPr="0069240C" w:rsidRDefault="0069240C" w:rsidP="0069240C">
      <w:pPr>
        <w:ind w:left="567" w:hanging="567"/>
        <w:jc w:val="both"/>
        <w:rPr>
          <w:rFonts w:cs="Arial"/>
          <w:iCs/>
          <w:spacing w:val="-5"/>
          <w:sz w:val="24"/>
          <w:szCs w:val="24"/>
          <w:lang w:eastAsia="en-US"/>
        </w:rPr>
      </w:pPr>
      <w:r w:rsidRPr="0069240C">
        <w:rPr>
          <w:rFonts w:cs="Arial"/>
          <w:iCs/>
          <w:spacing w:val="-5"/>
          <w:sz w:val="24"/>
          <w:szCs w:val="24"/>
          <w:lang w:eastAsia="en-US"/>
        </w:rPr>
        <w:tab/>
        <w:t>This is a developing area, and for the purpose of the Council’s treasury investments the Council’s ESG policies and the environmental and climate change policy, will have a trickle-down effect into Treasury Management activity.  Investments will still comply with SLY, Security, Liquidity, Yield requirements in the first instance.  Treasury Management Practice 1 – Risk Management – has been expanded to include a high-level reference to ESG aspects of Treasury Management where creditworthiness and counterparty policies are in place to mitigate investment risk where the ESG risks are also incorporated.</w:t>
      </w:r>
    </w:p>
    <w:p w14:paraId="5ED19DB9" w14:textId="77777777" w:rsidR="0069240C" w:rsidRPr="0069240C" w:rsidRDefault="0069240C" w:rsidP="0069240C">
      <w:pPr>
        <w:tabs>
          <w:tab w:val="left" w:pos="360"/>
        </w:tabs>
        <w:jc w:val="both"/>
        <w:rPr>
          <w:rFonts w:cs="Arial"/>
          <w:iCs/>
          <w:color w:val="0000FF"/>
          <w:spacing w:val="-5"/>
          <w:sz w:val="24"/>
          <w:szCs w:val="24"/>
          <w:lang w:eastAsia="en-US"/>
        </w:rPr>
      </w:pPr>
    </w:p>
    <w:p w14:paraId="2A9CAFAE" w14:textId="79A5068E" w:rsidR="0069240C" w:rsidRPr="0069240C" w:rsidRDefault="0069240C" w:rsidP="0069240C">
      <w:pPr>
        <w:ind w:left="567" w:hanging="567"/>
        <w:jc w:val="both"/>
        <w:rPr>
          <w:rFonts w:cs="Arial"/>
          <w:b/>
          <w:bCs/>
          <w:iCs/>
          <w:spacing w:val="-5"/>
          <w:sz w:val="24"/>
          <w:szCs w:val="24"/>
          <w:lang w:eastAsia="en-US"/>
        </w:rPr>
      </w:pPr>
      <w:r w:rsidRPr="0069240C">
        <w:rPr>
          <w:rFonts w:cs="Arial"/>
          <w:b/>
          <w:bCs/>
          <w:iCs/>
          <w:spacing w:val="-5"/>
          <w:sz w:val="24"/>
          <w:szCs w:val="24"/>
          <w:lang w:eastAsia="en-US"/>
        </w:rPr>
        <w:t>4.</w:t>
      </w:r>
      <w:r>
        <w:rPr>
          <w:rFonts w:cs="Arial"/>
          <w:b/>
          <w:bCs/>
          <w:iCs/>
          <w:spacing w:val="-5"/>
          <w:sz w:val="24"/>
          <w:szCs w:val="24"/>
          <w:lang w:eastAsia="en-US"/>
        </w:rPr>
        <w:t>7</w:t>
      </w:r>
      <w:r w:rsidRPr="0069240C">
        <w:rPr>
          <w:rFonts w:cs="Arial"/>
          <w:b/>
          <w:bCs/>
          <w:iCs/>
          <w:spacing w:val="-5"/>
          <w:sz w:val="24"/>
          <w:szCs w:val="24"/>
          <w:lang w:eastAsia="en-US"/>
        </w:rPr>
        <w:tab/>
        <w:t>Other Limits</w:t>
      </w:r>
    </w:p>
    <w:p w14:paraId="580C6826" w14:textId="77777777" w:rsidR="0069240C" w:rsidRPr="0069240C" w:rsidRDefault="0069240C" w:rsidP="0069240C">
      <w:pPr>
        <w:ind w:left="567" w:hanging="567"/>
        <w:jc w:val="both"/>
        <w:rPr>
          <w:rFonts w:cs="Arial"/>
          <w:iCs/>
          <w:spacing w:val="-5"/>
          <w:sz w:val="24"/>
          <w:szCs w:val="24"/>
          <w:lang w:eastAsia="en-US"/>
        </w:rPr>
      </w:pPr>
    </w:p>
    <w:p w14:paraId="6F044DA6" w14:textId="77777777" w:rsidR="0069240C" w:rsidRPr="0069240C" w:rsidRDefault="0069240C" w:rsidP="0069240C">
      <w:pPr>
        <w:ind w:left="567" w:hanging="567"/>
        <w:jc w:val="both"/>
        <w:rPr>
          <w:rFonts w:cs="Arial"/>
          <w:iCs/>
          <w:spacing w:val="-5"/>
          <w:sz w:val="24"/>
          <w:szCs w:val="24"/>
          <w:lang w:eastAsia="en-US"/>
        </w:rPr>
      </w:pPr>
      <w:r w:rsidRPr="0069240C">
        <w:rPr>
          <w:rFonts w:cs="Arial"/>
          <w:iCs/>
          <w:spacing w:val="-5"/>
          <w:sz w:val="24"/>
          <w:szCs w:val="24"/>
          <w:lang w:eastAsia="en-US"/>
        </w:rPr>
        <w:tab/>
        <w:t xml:space="preserve">Due care will be taken to consider the exposure of the Council’s total investment portfolio to non-specified investments, countries, groups and sectors.  </w:t>
      </w:r>
    </w:p>
    <w:p w14:paraId="1323BCF6" w14:textId="77777777" w:rsidR="0069240C" w:rsidRPr="0069240C" w:rsidRDefault="0069240C" w:rsidP="0069240C">
      <w:pPr>
        <w:ind w:left="567" w:hanging="567"/>
        <w:jc w:val="both"/>
        <w:rPr>
          <w:rFonts w:cs="Arial"/>
          <w:iCs/>
          <w:spacing w:val="-5"/>
          <w:sz w:val="24"/>
          <w:szCs w:val="24"/>
          <w:lang w:eastAsia="en-US"/>
        </w:rPr>
      </w:pPr>
    </w:p>
    <w:p w14:paraId="5D14F352" w14:textId="77777777" w:rsidR="0069240C" w:rsidRPr="0069240C" w:rsidRDefault="0069240C" w:rsidP="0069240C">
      <w:pPr>
        <w:ind w:left="1134" w:hanging="567"/>
        <w:jc w:val="both"/>
        <w:rPr>
          <w:rFonts w:cs="Arial"/>
          <w:iCs/>
          <w:spacing w:val="-5"/>
          <w:sz w:val="24"/>
          <w:szCs w:val="24"/>
          <w:lang w:eastAsia="en-US"/>
        </w:rPr>
      </w:pPr>
      <w:r w:rsidRPr="0069240C">
        <w:rPr>
          <w:rFonts w:cs="Arial"/>
          <w:iCs/>
          <w:spacing w:val="-5"/>
          <w:sz w:val="24"/>
          <w:szCs w:val="24"/>
          <w:lang w:eastAsia="en-US"/>
        </w:rPr>
        <w:t>a)</w:t>
      </w:r>
      <w:r w:rsidRPr="0069240C">
        <w:rPr>
          <w:rFonts w:cs="Arial"/>
          <w:iCs/>
          <w:spacing w:val="-5"/>
          <w:sz w:val="24"/>
          <w:szCs w:val="24"/>
          <w:lang w:eastAsia="en-US"/>
        </w:rPr>
        <w:tab/>
        <w:t xml:space="preserve">Non-specified treasury management investment limit. The Council has determined that it will limit the maximum total exposure of treasury management investments to non-specified treasury management investments as being £60m, being approximately 10% of the total treasury management investment portfolio. </w:t>
      </w:r>
    </w:p>
    <w:p w14:paraId="07C77559" w14:textId="77777777" w:rsidR="0069240C" w:rsidRPr="0069240C" w:rsidRDefault="0069240C" w:rsidP="0069240C">
      <w:pPr>
        <w:ind w:left="1134" w:hanging="567"/>
        <w:jc w:val="both"/>
        <w:rPr>
          <w:rFonts w:cs="Arial"/>
          <w:iCs/>
          <w:spacing w:val="-5"/>
          <w:sz w:val="24"/>
          <w:szCs w:val="24"/>
          <w:lang w:eastAsia="en-US"/>
        </w:rPr>
      </w:pPr>
    </w:p>
    <w:p w14:paraId="09ED81AC" w14:textId="77777777" w:rsidR="0069240C" w:rsidRPr="0069240C" w:rsidRDefault="0069240C" w:rsidP="006A2F03">
      <w:pPr>
        <w:numPr>
          <w:ilvl w:val="1"/>
          <w:numId w:val="42"/>
        </w:numPr>
        <w:ind w:left="1134" w:hanging="567"/>
        <w:jc w:val="both"/>
        <w:rPr>
          <w:rFonts w:cs="Arial"/>
          <w:iCs/>
          <w:sz w:val="24"/>
          <w:szCs w:val="24"/>
        </w:rPr>
      </w:pPr>
      <w:r w:rsidRPr="0069240C">
        <w:rPr>
          <w:rFonts w:cs="Arial"/>
          <w:iCs/>
          <w:sz w:val="24"/>
          <w:szCs w:val="24"/>
        </w:rPr>
        <w:t xml:space="preserve">Country limit. The Council has determined that, for counterparties outside the UK, it will only use approved counterparties from countries with a minimum sovereign credit rating of AA- from Fitch or equivalent. The list of countries that qualify using this credit criteria as at the date of this report are shown in Appendix D.  This list </w:t>
      </w:r>
      <w:r w:rsidRPr="0069240C">
        <w:rPr>
          <w:rFonts w:cs="Arial"/>
          <w:iCs/>
          <w:sz w:val="24"/>
          <w:szCs w:val="24"/>
        </w:rPr>
        <w:lastRenderedPageBreak/>
        <w:t>will be added to, or deducted from, by officers should ratings change in accordance with this policy.</w:t>
      </w:r>
    </w:p>
    <w:p w14:paraId="779448A5" w14:textId="77777777" w:rsidR="0069240C" w:rsidRPr="0069240C" w:rsidRDefault="0069240C" w:rsidP="0069240C">
      <w:pPr>
        <w:ind w:left="1440"/>
        <w:jc w:val="both"/>
        <w:rPr>
          <w:rFonts w:cs="Arial"/>
          <w:iCs/>
          <w:sz w:val="24"/>
          <w:szCs w:val="24"/>
        </w:rPr>
      </w:pPr>
    </w:p>
    <w:p w14:paraId="0EB3E5BE" w14:textId="77777777" w:rsidR="0069240C" w:rsidRPr="0069240C" w:rsidRDefault="0069240C" w:rsidP="006A2F03">
      <w:pPr>
        <w:numPr>
          <w:ilvl w:val="1"/>
          <w:numId w:val="42"/>
        </w:numPr>
        <w:ind w:left="1134" w:hanging="567"/>
        <w:jc w:val="both"/>
        <w:rPr>
          <w:rFonts w:cs="Arial"/>
          <w:iCs/>
          <w:sz w:val="24"/>
          <w:szCs w:val="24"/>
        </w:rPr>
      </w:pPr>
      <w:r w:rsidRPr="0069240C">
        <w:rPr>
          <w:rFonts w:cs="Arial"/>
          <w:b/>
          <w:bCs/>
          <w:iCs/>
          <w:sz w:val="24"/>
          <w:szCs w:val="24"/>
        </w:rPr>
        <w:t>Countries / Groups / Sector limits</w:t>
      </w:r>
      <w:r w:rsidRPr="0069240C">
        <w:rPr>
          <w:rFonts w:cs="Arial"/>
          <w:iCs/>
          <w:sz w:val="24"/>
          <w:szCs w:val="24"/>
        </w:rPr>
        <w:t>. In addition</w:t>
      </w:r>
    </w:p>
    <w:p w14:paraId="268170FB" w14:textId="77777777" w:rsidR="0069240C" w:rsidRPr="0069240C" w:rsidRDefault="0069240C" w:rsidP="006A2F03">
      <w:pPr>
        <w:numPr>
          <w:ilvl w:val="0"/>
          <w:numId w:val="43"/>
        </w:numPr>
        <w:ind w:left="1701" w:hanging="567"/>
        <w:jc w:val="both"/>
        <w:rPr>
          <w:rFonts w:cs="Arial"/>
          <w:iCs/>
          <w:sz w:val="24"/>
          <w:szCs w:val="24"/>
        </w:rPr>
      </w:pPr>
      <w:r w:rsidRPr="0069240C">
        <w:rPr>
          <w:rFonts w:cs="Arial"/>
          <w:iCs/>
          <w:sz w:val="24"/>
          <w:szCs w:val="24"/>
        </w:rPr>
        <w:t>Limits in place will apply to a group of companies/institutions</w:t>
      </w:r>
    </w:p>
    <w:p w14:paraId="4ED8278C" w14:textId="77777777" w:rsidR="0069240C" w:rsidRPr="0069240C" w:rsidRDefault="0069240C" w:rsidP="006A2F03">
      <w:pPr>
        <w:numPr>
          <w:ilvl w:val="0"/>
          <w:numId w:val="43"/>
        </w:numPr>
        <w:ind w:left="1701" w:hanging="567"/>
        <w:jc w:val="both"/>
        <w:rPr>
          <w:rFonts w:cs="Arial"/>
          <w:iCs/>
          <w:sz w:val="24"/>
          <w:szCs w:val="24"/>
        </w:rPr>
      </w:pPr>
      <w:r w:rsidRPr="0069240C">
        <w:rPr>
          <w:rFonts w:cs="Arial"/>
          <w:sz w:val="24"/>
          <w:szCs w:val="24"/>
        </w:rPr>
        <w:t>Sector limits will be monitored regularly for appropriateness</w:t>
      </w:r>
    </w:p>
    <w:p w14:paraId="557201F2" w14:textId="77777777" w:rsidR="0069240C" w:rsidRPr="0069240C" w:rsidRDefault="0069240C" w:rsidP="0069240C">
      <w:pPr>
        <w:ind w:left="567" w:hanging="567"/>
        <w:jc w:val="both"/>
        <w:rPr>
          <w:rFonts w:cs="Arial"/>
          <w:b/>
          <w:sz w:val="24"/>
          <w:szCs w:val="24"/>
          <w:lang w:eastAsia="en-US"/>
        </w:rPr>
      </w:pPr>
    </w:p>
    <w:p w14:paraId="11C183D3" w14:textId="5D0C475F" w:rsidR="0069240C" w:rsidRPr="0069240C" w:rsidRDefault="0069240C" w:rsidP="0069240C">
      <w:pPr>
        <w:ind w:left="567" w:hanging="567"/>
        <w:jc w:val="both"/>
        <w:rPr>
          <w:rFonts w:cs="Arial"/>
          <w:b/>
          <w:sz w:val="24"/>
          <w:szCs w:val="24"/>
          <w:lang w:eastAsia="en-US"/>
        </w:rPr>
      </w:pPr>
      <w:r w:rsidRPr="0069240C">
        <w:rPr>
          <w:rFonts w:cs="Arial"/>
          <w:b/>
          <w:sz w:val="24"/>
          <w:szCs w:val="24"/>
          <w:lang w:eastAsia="en-US"/>
        </w:rPr>
        <w:t>4.</w:t>
      </w:r>
      <w:r>
        <w:rPr>
          <w:rFonts w:cs="Arial"/>
          <w:b/>
          <w:sz w:val="24"/>
          <w:szCs w:val="24"/>
          <w:lang w:eastAsia="en-US"/>
        </w:rPr>
        <w:t>8</w:t>
      </w:r>
      <w:r w:rsidRPr="0069240C">
        <w:rPr>
          <w:rFonts w:cs="Arial"/>
          <w:b/>
          <w:sz w:val="24"/>
          <w:szCs w:val="24"/>
          <w:lang w:eastAsia="en-US"/>
        </w:rPr>
        <w:tab/>
        <w:t>Investment strategy</w:t>
      </w:r>
    </w:p>
    <w:p w14:paraId="47EAE023" w14:textId="77777777" w:rsidR="0069240C" w:rsidRPr="0069240C" w:rsidRDefault="0069240C" w:rsidP="0069240C">
      <w:pPr>
        <w:ind w:left="567" w:hanging="567"/>
        <w:jc w:val="both"/>
        <w:rPr>
          <w:rFonts w:cs="Arial"/>
          <w:b/>
          <w:sz w:val="24"/>
          <w:szCs w:val="24"/>
          <w:lang w:eastAsia="en-US"/>
        </w:rPr>
      </w:pPr>
    </w:p>
    <w:p w14:paraId="18A5782F" w14:textId="77777777" w:rsidR="0069240C" w:rsidRPr="0069240C" w:rsidRDefault="0069240C" w:rsidP="0069240C">
      <w:pPr>
        <w:ind w:left="567" w:hanging="567"/>
        <w:jc w:val="both"/>
        <w:rPr>
          <w:rFonts w:cs="Arial"/>
          <w:bCs/>
          <w:color w:val="0D0D0D"/>
          <w:spacing w:val="-5"/>
          <w:sz w:val="24"/>
          <w:szCs w:val="24"/>
          <w:lang w:eastAsia="en-US"/>
        </w:rPr>
      </w:pPr>
      <w:r w:rsidRPr="0069240C">
        <w:rPr>
          <w:rFonts w:cs="Arial"/>
          <w:bCs/>
          <w:spacing w:val="-5"/>
          <w:sz w:val="24"/>
          <w:szCs w:val="24"/>
          <w:lang w:eastAsia="en-US"/>
        </w:rPr>
        <w:tab/>
      </w:r>
      <w:r w:rsidRPr="0069240C">
        <w:rPr>
          <w:rFonts w:cs="Arial"/>
          <w:b/>
          <w:color w:val="0D0D0D"/>
          <w:spacing w:val="-5"/>
          <w:sz w:val="24"/>
          <w:szCs w:val="24"/>
          <w:lang w:eastAsia="en-US"/>
        </w:rPr>
        <w:t>In-house funds</w:t>
      </w:r>
      <w:r w:rsidRPr="0069240C">
        <w:rPr>
          <w:rFonts w:cs="Arial"/>
          <w:bCs/>
          <w:color w:val="0D0D0D"/>
          <w:spacing w:val="-5"/>
          <w:sz w:val="24"/>
          <w:szCs w:val="24"/>
          <w:lang w:eastAsia="en-US"/>
        </w:rPr>
        <w:t xml:space="preserve">. Investments will be made with reference to the core balance and cashflow requirements and the outlook for short-term interest rates (i.e., rates for investments up to 12 months). Greater returns are usually obtainable by investing for longer periods.  The current shape of the yield curve suggests that rates can be expected to fall throughout 2026, but only if the CPI measure of inflation maintains a downwards trend towards the Bank of England’s 2% target.  Rates may be cut quicker than expected if the economy stagnates.  </w:t>
      </w:r>
    </w:p>
    <w:p w14:paraId="1F0051E8" w14:textId="77777777" w:rsidR="0069240C" w:rsidRPr="0069240C" w:rsidRDefault="0069240C" w:rsidP="0069240C">
      <w:pPr>
        <w:ind w:left="567"/>
        <w:jc w:val="both"/>
        <w:rPr>
          <w:rFonts w:cs="Arial"/>
          <w:bCs/>
          <w:color w:val="0D0D0D"/>
          <w:spacing w:val="-5"/>
          <w:sz w:val="24"/>
          <w:szCs w:val="24"/>
          <w:lang w:eastAsia="en-US"/>
        </w:rPr>
      </w:pPr>
    </w:p>
    <w:p w14:paraId="6A52F8E9" w14:textId="77777777" w:rsidR="0069240C" w:rsidRPr="0069240C" w:rsidRDefault="0069240C" w:rsidP="0069240C">
      <w:pPr>
        <w:ind w:left="567"/>
        <w:jc w:val="both"/>
        <w:rPr>
          <w:rFonts w:cs="Arial"/>
          <w:bCs/>
          <w:color w:val="0D0D0D"/>
          <w:spacing w:val="-5"/>
          <w:sz w:val="24"/>
          <w:szCs w:val="24"/>
          <w:lang w:eastAsia="en-US"/>
        </w:rPr>
      </w:pPr>
      <w:r w:rsidRPr="0069240C">
        <w:rPr>
          <w:rFonts w:cs="Arial"/>
          <w:bCs/>
          <w:color w:val="0D0D0D"/>
          <w:spacing w:val="-5"/>
          <w:sz w:val="24"/>
          <w:szCs w:val="24"/>
          <w:lang w:eastAsia="en-US"/>
        </w:rPr>
        <w:t xml:space="preserve">Accordingly, while most cash balances are required </w:t>
      </w:r>
      <w:proofErr w:type="gramStart"/>
      <w:r w:rsidRPr="0069240C">
        <w:rPr>
          <w:rFonts w:cs="Arial"/>
          <w:bCs/>
          <w:color w:val="0D0D0D"/>
          <w:spacing w:val="-5"/>
          <w:sz w:val="24"/>
          <w:szCs w:val="24"/>
          <w:lang w:eastAsia="en-US"/>
        </w:rPr>
        <w:t>in order to</w:t>
      </w:r>
      <w:proofErr w:type="gramEnd"/>
      <w:r w:rsidRPr="0069240C">
        <w:rPr>
          <w:rFonts w:cs="Arial"/>
          <w:bCs/>
          <w:color w:val="0D0D0D"/>
          <w:spacing w:val="-5"/>
          <w:sz w:val="24"/>
          <w:szCs w:val="24"/>
          <w:lang w:eastAsia="en-US"/>
        </w:rPr>
        <w:t xml:space="preserve"> manage the ups and downs of cash flow, where cash sums can be identified that could be invested for longer periods, the value to be obtained from longer-term investments will be carefully assessed.</w:t>
      </w:r>
    </w:p>
    <w:p w14:paraId="0C23F55D" w14:textId="77777777" w:rsidR="0069240C" w:rsidRPr="0069240C" w:rsidRDefault="0069240C" w:rsidP="0069240C">
      <w:pPr>
        <w:ind w:left="567" w:hanging="567"/>
        <w:jc w:val="both"/>
        <w:rPr>
          <w:spacing w:val="-5"/>
          <w:sz w:val="24"/>
          <w:szCs w:val="24"/>
          <w:lang w:eastAsia="en-US"/>
        </w:rPr>
      </w:pPr>
    </w:p>
    <w:p w14:paraId="5A88A7C8" w14:textId="77777777" w:rsidR="0069240C" w:rsidRPr="0069240C" w:rsidRDefault="0069240C" w:rsidP="0069240C">
      <w:pPr>
        <w:ind w:left="567" w:hanging="567"/>
        <w:jc w:val="both"/>
        <w:rPr>
          <w:rFonts w:cs="Arial"/>
          <w:color w:val="0D0D0D"/>
          <w:spacing w:val="-5"/>
          <w:sz w:val="24"/>
          <w:szCs w:val="24"/>
          <w:lang w:eastAsia="en-US"/>
        </w:rPr>
      </w:pPr>
      <w:r w:rsidRPr="0069240C">
        <w:rPr>
          <w:rFonts w:cs="Arial"/>
          <w:b/>
          <w:color w:val="0D0D0D"/>
          <w:spacing w:val="-5"/>
          <w:sz w:val="24"/>
          <w:szCs w:val="24"/>
          <w:lang w:eastAsia="en-US"/>
        </w:rPr>
        <w:tab/>
        <w:t>Investment returns expectations.</w:t>
      </w:r>
      <w:r w:rsidRPr="0069240C">
        <w:rPr>
          <w:rFonts w:cs="Arial"/>
          <w:color w:val="0D0D0D"/>
          <w:spacing w:val="-5"/>
          <w:sz w:val="24"/>
          <w:szCs w:val="24"/>
          <w:lang w:eastAsia="en-US"/>
        </w:rPr>
        <w:t xml:space="preserve">  The current interest rate forecast includes a forecast for Bank Rate to fall to a low of 3.25% in 2026.</w:t>
      </w:r>
    </w:p>
    <w:p w14:paraId="479989EF" w14:textId="77777777" w:rsidR="0069240C" w:rsidRPr="0069240C" w:rsidRDefault="0069240C" w:rsidP="0069240C">
      <w:pPr>
        <w:ind w:left="567" w:hanging="567"/>
        <w:jc w:val="both"/>
        <w:rPr>
          <w:rFonts w:cs="Arial"/>
          <w:color w:val="0D0D0D"/>
          <w:sz w:val="24"/>
          <w:szCs w:val="24"/>
        </w:rPr>
      </w:pPr>
    </w:p>
    <w:p w14:paraId="684D6D57" w14:textId="77777777" w:rsidR="0069240C" w:rsidRPr="0069240C" w:rsidRDefault="0069240C" w:rsidP="0069240C">
      <w:pPr>
        <w:ind w:left="567" w:hanging="567"/>
        <w:jc w:val="both"/>
        <w:rPr>
          <w:rFonts w:cs="Arial"/>
          <w:color w:val="0D0D0D"/>
          <w:spacing w:val="-5"/>
          <w:sz w:val="24"/>
          <w:szCs w:val="24"/>
          <w:lang w:eastAsia="en-US"/>
        </w:rPr>
      </w:pPr>
      <w:r w:rsidRPr="0069240C">
        <w:rPr>
          <w:rFonts w:cs="Arial"/>
          <w:color w:val="0D0D0D"/>
          <w:spacing w:val="-5"/>
          <w:sz w:val="24"/>
          <w:szCs w:val="24"/>
          <w:lang w:eastAsia="en-US"/>
        </w:rPr>
        <w:tab/>
        <w:t xml:space="preserve">The suggested budgeted investment earnings rates for returns on investments placed for periods up to about three months during each financial year are as follows: </w:t>
      </w:r>
    </w:p>
    <w:p w14:paraId="7D68826F" w14:textId="77777777" w:rsidR="0069240C" w:rsidRPr="0069240C" w:rsidRDefault="0069240C" w:rsidP="0069240C">
      <w:pPr>
        <w:ind w:left="567" w:hanging="567"/>
        <w:jc w:val="both"/>
        <w:rPr>
          <w:rFonts w:ascii="Calibri" w:hAnsi="Calibri" w:cs="Arial"/>
          <w:b/>
          <w:color w:val="0D0D0D"/>
          <w:sz w:val="24"/>
          <w:szCs w:val="24"/>
        </w:rPr>
      </w:pPr>
      <w:r w:rsidRPr="0069240C">
        <w:rPr>
          <w:rFonts w:cs="Arial"/>
          <w:color w:val="0D0D0D"/>
          <w:sz w:val="24"/>
          <w:szCs w:val="24"/>
        </w:rPr>
        <w:t xml:space="preserve"> </w:t>
      </w:r>
      <w:r w:rsidRPr="0069240C">
        <w:rPr>
          <w:rFonts w:cs="Arial"/>
          <w:color w:val="0D0D0D"/>
          <w:sz w:val="24"/>
          <w:szCs w:val="24"/>
        </w:rPr>
        <w:tab/>
      </w:r>
    </w:p>
    <w:tbl>
      <w:tblPr>
        <w:tblStyle w:val="DefaultTable3"/>
        <w:tblW w:w="5832" w:type="dxa"/>
        <w:tblInd w:w="2321" w:type="dxa"/>
        <w:tblLook w:val="04A0" w:firstRow="1" w:lastRow="0" w:firstColumn="1" w:lastColumn="0" w:noHBand="0" w:noVBand="1"/>
      </w:tblPr>
      <w:tblGrid>
        <w:gridCol w:w="3516"/>
        <w:gridCol w:w="2316"/>
      </w:tblGrid>
      <w:tr w:rsidR="0069240C" w:rsidRPr="0069240C" w14:paraId="5C4589CA" w14:textId="77777777">
        <w:trPr>
          <w:cnfStyle w:val="100000000000" w:firstRow="1" w:lastRow="0" w:firstColumn="0" w:lastColumn="0" w:oddVBand="0" w:evenVBand="0" w:oddHBand="0"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3516" w:type="dxa"/>
            <w:tcBorders>
              <w:top w:val="single" w:sz="4" w:space="0" w:color="A6A6A6"/>
              <w:left w:val="single" w:sz="4" w:space="0" w:color="A6A6A6"/>
              <w:bottom w:val="single" w:sz="4" w:space="0" w:color="A6A6A6"/>
              <w:right w:val="single" w:sz="4" w:space="0" w:color="A6A6A6"/>
            </w:tcBorders>
            <w:hideMark/>
          </w:tcPr>
          <w:p w14:paraId="2D60E8BE" w14:textId="77777777" w:rsidR="0069240C" w:rsidRPr="0069240C" w:rsidRDefault="0069240C" w:rsidP="0069240C">
            <w:pPr>
              <w:spacing w:before="120" w:after="120"/>
              <w:jc w:val="center"/>
              <w:rPr>
                <w:rFonts w:cs="Arial"/>
              </w:rPr>
            </w:pPr>
            <w:r w:rsidRPr="0069240C">
              <w:rPr>
                <w:rFonts w:cs="Arial"/>
              </w:rPr>
              <w:t>Average earnings in each year</w:t>
            </w:r>
          </w:p>
        </w:tc>
        <w:tc>
          <w:tcPr>
            <w:tcW w:w="2316" w:type="dxa"/>
            <w:tcBorders>
              <w:top w:val="single" w:sz="4" w:space="0" w:color="A6A6A6"/>
              <w:left w:val="single" w:sz="4" w:space="0" w:color="A6A6A6"/>
              <w:bottom w:val="single" w:sz="4" w:space="0" w:color="A6A6A6"/>
              <w:right w:val="single" w:sz="4" w:space="0" w:color="A6A6A6"/>
            </w:tcBorders>
            <w:hideMark/>
          </w:tcPr>
          <w:p w14:paraId="79CD83C8" w14:textId="77777777" w:rsidR="0069240C" w:rsidRPr="0069240C" w:rsidRDefault="0069240C" w:rsidP="0069240C">
            <w:pPr>
              <w:spacing w:before="120" w:after="120"/>
              <w:jc w:val="center"/>
              <w:cnfStyle w:val="100000000000" w:firstRow="1" w:lastRow="0" w:firstColumn="0" w:lastColumn="0" w:oddVBand="0" w:evenVBand="0" w:oddHBand="0" w:evenHBand="0" w:firstRowFirstColumn="0" w:firstRowLastColumn="0" w:lastRowFirstColumn="0" w:lastRowLastColumn="0"/>
              <w:rPr>
                <w:rFonts w:cs="Arial"/>
              </w:rPr>
            </w:pPr>
            <w:r w:rsidRPr="0069240C">
              <w:rPr>
                <w:rFonts w:cs="Arial"/>
              </w:rPr>
              <w:t>Now</w:t>
            </w:r>
          </w:p>
        </w:tc>
      </w:tr>
      <w:tr w:rsidR="0069240C" w:rsidRPr="0069240C" w14:paraId="2FA85E68" w14:textId="77777777">
        <w:trPr>
          <w:trHeight w:val="339"/>
        </w:trPr>
        <w:tc>
          <w:tcPr>
            <w:cnfStyle w:val="001000000000" w:firstRow="0" w:lastRow="0" w:firstColumn="1" w:lastColumn="0" w:oddVBand="0" w:evenVBand="0" w:oddHBand="0" w:evenHBand="0" w:firstRowFirstColumn="0" w:firstRowLastColumn="0" w:lastRowFirstColumn="0" w:lastRowLastColumn="0"/>
            <w:tcW w:w="3516" w:type="dxa"/>
            <w:tcBorders>
              <w:top w:val="single" w:sz="4" w:space="0" w:color="A6A6A6"/>
              <w:left w:val="single" w:sz="4" w:space="0" w:color="A6A6A6"/>
              <w:bottom w:val="single" w:sz="4" w:space="0" w:color="A6A6A6"/>
              <w:right w:val="single" w:sz="4" w:space="0" w:color="A6A6A6"/>
            </w:tcBorders>
            <w:hideMark/>
          </w:tcPr>
          <w:p w14:paraId="72C3E737" w14:textId="77777777" w:rsidR="0069240C" w:rsidRPr="0069240C" w:rsidRDefault="0069240C" w:rsidP="0069240C">
            <w:pPr>
              <w:spacing w:before="120" w:after="120"/>
              <w:jc w:val="center"/>
              <w:rPr>
                <w:rFonts w:cs="Arial"/>
                <w:color w:val="0D0D0D"/>
              </w:rPr>
            </w:pPr>
            <w:r w:rsidRPr="0069240C">
              <w:rPr>
                <w:rFonts w:cs="Arial"/>
                <w:color w:val="0D0D0D"/>
              </w:rPr>
              <w:t>2025/26 (residual)</w:t>
            </w:r>
          </w:p>
        </w:tc>
        <w:tc>
          <w:tcPr>
            <w:tcW w:w="2316" w:type="dxa"/>
            <w:tcBorders>
              <w:top w:val="single" w:sz="4" w:space="0" w:color="A6A6A6"/>
              <w:left w:val="single" w:sz="4" w:space="0" w:color="A6A6A6"/>
              <w:bottom w:val="single" w:sz="4" w:space="0" w:color="A6A6A6"/>
              <w:right w:val="single" w:sz="4" w:space="0" w:color="A6A6A6"/>
            </w:tcBorders>
            <w:hideMark/>
          </w:tcPr>
          <w:p w14:paraId="608A2B34" w14:textId="77777777" w:rsidR="0069240C" w:rsidRPr="0069240C" w:rsidRDefault="0069240C" w:rsidP="0069240C">
            <w:pPr>
              <w:spacing w:before="120" w:after="120"/>
              <w:jc w:val="center"/>
              <w:cnfStyle w:val="000000000000" w:firstRow="0" w:lastRow="0" w:firstColumn="0" w:lastColumn="0" w:oddVBand="0" w:evenVBand="0" w:oddHBand="0" w:evenHBand="0" w:firstRowFirstColumn="0" w:firstRowLastColumn="0" w:lastRowFirstColumn="0" w:lastRowLastColumn="0"/>
              <w:rPr>
                <w:rFonts w:cs="Arial"/>
                <w:color w:val="0D0D0D"/>
              </w:rPr>
            </w:pPr>
            <w:r w:rsidRPr="0069240C">
              <w:rPr>
                <w:rFonts w:cs="Arial"/>
                <w:color w:val="0D0D0D"/>
              </w:rPr>
              <w:t>3.80%</w:t>
            </w:r>
          </w:p>
        </w:tc>
      </w:tr>
      <w:tr w:rsidR="0069240C" w:rsidRPr="0069240C" w14:paraId="66A12E6F" w14:textId="77777777">
        <w:trPr>
          <w:trHeight w:val="339"/>
        </w:trPr>
        <w:tc>
          <w:tcPr>
            <w:cnfStyle w:val="001000000000" w:firstRow="0" w:lastRow="0" w:firstColumn="1" w:lastColumn="0" w:oddVBand="0" w:evenVBand="0" w:oddHBand="0" w:evenHBand="0" w:firstRowFirstColumn="0" w:firstRowLastColumn="0" w:lastRowFirstColumn="0" w:lastRowLastColumn="0"/>
            <w:tcW w:w="3516" w:type="dxa"/>
            <w:tcBorders>
              <w:top w:val="single" w:sz="4" w:space="0" w:color="A6A6A6"/>
              <w:left w:val="single" w:sz="4" w:space="0" w:color="A6A6A6"/>
              <w:bottom w:val="single" w:sz="4" w:space="0" w:color="A6A6A6"/>
              <w:right w:val="single" w:sz="4" w:space="0" w:color="A6A6A6"/>
            </w:tcBorders>
            <w:hideMark/>
          </w:tcPr>
          <w:p w14:paraId="693A8090" w14:textId="77777777" w:rsidR="0069240C" w:rsidRPr="0069240C" w:rsidRDefault="0069240C" w:rsidP="0069240C">
            <w:pPr>
              <w:spacing w:before="120" w:after="120"/>
              <w:jc w:val="center"/>
              <w:rPr>
                <w:rFonts w:cs="Arial"/>
                <w:color w:val="0D0D0D"/>
              </w:rPr>
            </w:pPr>
            <w:r w:rsidRPr="0069240C">
              <w:rPr>
                <w:rFonts w:cs="Arial"/>
                <w:color w:val="0D0D0D"/>
              </w:rPr>
              <w:t>2026/27</w:t>
            </w:r>
          </w:p>
        </w:tc>
        <w:tc>
          <w:tcPr>
            <w:tcW w:w="2316" w:type="dxa"/>
            <w:tcBorders>
              <w:top w:val="single" w:sz="4" w:space="0" w:color="A6A6A6"/>
              <w:left w:val="single" w:sz="4" w:space="0" w:color="A6A6A6"/>
              <w:bottom w:val="single" w:sz="4" w:space="0" w:color="A6A6A6"/>
              <w:right w:val="single" w:sz="4" w:space="0" w:color="A6A6A6"/>
            </w:tcBorders>
            <w:hideMark/>
          </w:tcPr>
          <w:p w14:paraId="04630AC7" w14:textId="77777777" w:rsidR="0069240C" w:rsidRPr="0069240C" w:rsidRDefault="0069240C" w:rsidP="0069240C">
            <w:pPr>
              <w:spacing w:before="120" w:after="120"/>
              <w:jc w:val="center"/>
              <w:cnfStyle w:val="000000000000" w:firstRow="0" w:lastRow="0" w:firstColumn="0" w:lastColumn="0" w:oddVBand="0" w:evenVBand="0" w:oddHBand="0" w:evenHBand="0" w:firstRowFirstColumn="0" w:firstRowLastColumn="0" w:lastRowFirstColumn="0" w:lastRowLastColumn="0"/>
              <w:rPr>
                <w:rFonts w:cs="Arial"/>
                <w:color w:val="0D0D0D"/>
              </w:rPr>
            </w:pPr>
            <w:r w:rsidRPr="0069240C">
              <w:rPr>
                <w:rFonts w:cs="Arial"/>
                <w:color w:val="0D0D0D"/>
              </w:rPr>
              <w:t>3.40%</w:t>
            </w:r>
          </w:p>
        </w:tc>
      </w:tr>
      <w:tr w:rsidR="0069240C" w:rsidRPr="0069240C" w14:paraId="674BCC7E" w14:textId="77777777">
        <w:trPr>
          <w:trHeight w:val="339"/>
        </w:trPr>
        <w:tc>
          <w:tcPr>
            <w:cnfStyle w:val="001000000000" w:firstRow="0" w:lastRow="0" w:firstColumn="1" w:lastColumn="0" w:oddVBand="0" w:evenVBand="0" w:oddHBand="0" w:evenHBand="0" w:firstRowFirstColumn="0" w:firstRowLastColumn="0" w:lastRowFirstColumn="0" w:lastRowLastColumn="0"/>
            <w:tcW w:w="3516" w:type="dxa"/>
            <w:tcBorders>
              <w:top w:val="single" w:sz="4" w:space="0" w:color="A6A6A6"/>
              <w:left w:val="single" w:sz="4" w:space="0" w:color="A6A6A6"/>
              <w:bottom w:val="single" w:sz="4" w:space="0" w:color="A6A6A6"/>
              <w:right w:val="single" w:sz="4" w:space="0" w:color="A6A6A6"/>
            </w:tcBorders>
            <w:hideMark/>
          </w:tcPr>
          <w:p w14:paraId="507F56BA" w14:textId="77777777" w:rsidR="0069240C" w:rsidRPr="0069240C" w:rsidRDefault="0069240C" w:rsidP="0069240C">
            <w:pPr>
              <w:spacing w:before="120" w:after="120"/>
              <w:jc w:val="center"/>
              <w:rPr>
                <w:rFonts w:cs="Arial"/>
                <w:color w:val="0D0D0D"/>
              </w:rPr>
            </w:pPr>
            <w:r w:rsidRPr="0069240C">
              <w:rPr>
                <w:rFonts w:cs="Arial"/>
                <w:color w:val="0D0D0D"/>
              </w:rPr>
              <w:t>2027/28</w:t>
            </w:r>
          </w:p>
        </w:tc>
        <w:tc>
          <w:tcPr>
            <w:tcW w:w="2316" w:type="dxa"/>
            <w:tcBorders>
              <w:top w:val="single" w:sz="4" w:space="0" w:color="A6A6A6"/>
              <w:left w:val="single" w:sz="4" w:space="0" w:color="A6A6A6"/>
              <w:bottom w:val="single" w:sz="4" w:space="0" w:color="A6A6A6"/>
              <w:right w:val="single" w:sz="4" w:space="0" w:color="A6A6A6"/>
            </w:tcBorders>
            <w:hideMark/>
          </w:tcPr>
          <w:p w14:paraId="402F07D2" w14:textId="77777777" w:rsidR="0069240C" w:rsidRPr="0069240C" w:rsidRDefault="0069240C" w:rsidP="0069240C">
            <w:pPr>
              <w:spacing w:before="120" w:after="120"/>
              <w:jc w:val="center"/>
              <w:cnfStyle w:val="000000000000" w:firstRow="0" w:lastRow="0" w:firstColumn="0" w:lastColumn="0" w:oddVBand="0" w:evenVBand="0" w:oddHBand="0" w:evenHBand="0" w:firstRowFirstColumn="0" w:firstRowLastColumn="0" w:lastRowFirstColumn="0" w:lastRowLastColumn="0"/>
              <w:rPr>
                <w:rFonts w:cs="Arial"/>
                <w:color w:val="0D0D0D"/>
              </w:rPr>
            </w:pPr>
            <w:r w:rsidRPr="0069240C">
              <w:rPr>
                <w:rFonts w:cs="Arial"/>
                <w:color w:val="0D0D0D"/>
              </w:rPr>
              <w:t>3.30%</w:t>
            </w:r>
          </w:p>
        </w:tc>
      </w:tr>
      <w:tr w:rsidR="0069240C" w:rsidRPr="0069240C" w14:paraId="116FC83C" w14:textId="77777777">
        <w:trPr>
          <w:trHeight w:val="339"/>
        </w:trPr>
        <w:tc>
          <w:tcPr>
            <w:cnfStyle w:val="001000000000" w:firstRow="0" w:lastRow="0" w:firstColumn="1" w:lastColumn="0" w:oddVBand="0" w:evenVBand="0" w:oddHBand="0" w:evenHBand="0" w:firstRowFirstColumn="0" w:firstRowLastColumn="0" w:lastRowFirstColumn="0" w:lastRowLastColumn="0"/>
            <w:tcW w:w="3516" w:type="dxa"/>
            <w:tcBorders>
              <w:top w:val="single" w:sz="4" w:space="0" w:color="A6A6A6"/>
              <w:left w:val="single" w:sz="4" w:space="0" w:color="A6A6A6"/>
              <w:bottom w:val="single" w:sz="4" w:space="0" w:color="A6A6A6"/>
              <w:right w:val="single" w:sz="4" w:space="0" w:color="A6A6A6"/>
            </w:tcBorders>
            <w:hideMark/>
          </w:tcPr>
          <w:p w14:paraId="61F0E95E" w14:textId="77777777" w:rsidR="0069240C" w:rsidRPr="0069240C" w:rsidRDefault="0069240C" w:rsidP="0069240C">
            <w:pPr>
              <w:spacing w:before="120" w:after="120"/>
              <w:jc w:val="center"/>
              <w:rPr>
                <w:rFonts w:cs="Arial"/>
                <w:color w:val="0D0D0D"/>
              </w:rPr>
            </w:pPr>
            <w:r w:rsidRPr="0069240C">
              <w:rPr>
                <w:rFonts w:cs="Arial"/>
                <w:color w:val="0D0D0D"/>
              </w:rPr>
              <w:t>2028/29</w:t>
            </w:r>
          </w:p>
        </w:tc>
        <w:tc>
          <w:tcPr>
            <w:tcW w:w="2316" w:type="dxa"/>
            <w:tcBorders>
              <w:top w:val="single" w:sz="4" w:space="0" w:color="A6A6A6"/>
              <w:left w:val="single" w:sz="4" w:space="0" w:color="A6A6A6"/>
              <w:bottom w:val="single" w:sz="4" w:space="0" w:color="A6A6A6"/>
              <w:right w:val="single" w:sz="4" w:space="0" w:color="A6A6A6"/>
            </w:tcBorders>
            <w:hideMark/>
          </w:tcPr>
          <w:p w14:paraId="7235B50E" w14:textId="77777777" w:rsidR="0069240C" w:rsidRPr="0069240C" w:rsidRDefault="0069240C" w:rsidP="0069240C">
            <w:pPr>
              <w:spacing w:before="120" w:after="120"/>
              <w:jc w:val="center"/>
              <w:cnfStyle w:val="000000000000" w:firstRow="0" w:lastRow="0" w:firstColumn="0" w:lastColumn="0" w:oddVBand="0" w:evenVBand="0" w:oddHBand="0" w:evenHBand="0" w:firstRowFirstColumn="0" w:firstRowLastColumn="0" w:lastRowFirstColumn="0" w:lastRowLastColumn="0"/>
              <w:rPr>
                <w:rFonts w:cs="Arial"/>
                <w:color w:val="0D0D0D"/>
              </w:rPr>
            </w:pPr>
            <w:r w:rsidRPr="0069240C">
              <w:rPr>
                <w:rFonts w:cs="Arial"/>
                <w:color w:val="0D0D0D"/>
              </w:rPr>
              <w:t>3.30%</w:t>
            </w:r>
          </w:p>
        </w:tc>
      </w:tr>
      <w:tr w:rsidR="0069240C" w:rsidRPr="0069240C" w14:paraId="3499A1F6" w14:textId="77777777">
        <w:trPr>
          <w:trHeight w:val="339"/>
        </w:trPr>
        <w:tc>
          <w:tcPr>
            <w:cnfStyle w:val="001000000000" w:firstRow="0" w:lastRow="0" w:firstColumn="1" w:lastColumn="0" w:oddVBand="0" w:evenVBand="0" w:oddHBand="0" w:evenHBand="0" w:firstRowFirstColumn="0" w:firstRowLastColumn="0" w:lastRowFirstColumn="0" w:lastRowLastColumn="0"/>
            <w:tcW w:w="3516" w:type="dxa"/>
            <w:tcBorders>
              <w:top w:val="single" w:sz="4" w:space="0" w:color="A6A6A6"/>
              <w:left w:val="single" w:sz="4" w:space="0" w:color="A6A6A6"/>
              <w:bottom w:val="single" w:sz="4" w:space="0" w:color="A6A6A6"/>
              <w:right w:val="single" w:sz="4" w:space="0" w:color="A6A6A6"/>
            </w:tcBorders>
            <w:hideMark/>
          </w:tcPr>
          <w:p w14:paraId="086159E0" w14:textId="77777777" w:rsidR="0069240C" w:rsidRPr="0069240C" w:rsidRDefault="0069240C" w:rsidP="0069240C">
            <w:pPr>
              <w:spacing w:before="120" w:after="120"/>
              <w:jc w:val="center"/>
              <w:rPr>
                <w:rFonts w:cs="Arial"/>
                <w:color w:val="0D0D0D"/>
              </w:rPr>
            </w:pPr>
            <w:r w:rsidRPr="0069240C">
              <w:rPr>
                <w:rFonts w:cs="Arial"/>
                <w:color w:val="0D0D0D"/>
              </w:rPr>
              <w:t>2029/30</w:t>
            </w:r>
          </w:p>
        </w:tc>
        <w:tc>
          <w:tcPr>
            <w:tcW w:w="2316" w:type="dxa"/>
            <w:tcBorders>
              <w:top w:val="single" w:sz="4" w:space="0" w:color="A6A6A6"/>
              <w:left w:val="single" w:sz="4" w:space="0" w:color="A6A6A6"/>
              <w:bottom w:val="single" w:sz="4" w:space="0" w:color="A6A6A6"/>
              <w:right w:val="single" w:sz="4" w:space="0" w:color="A6A6A6"/>
            </w:tcBorders>
            <w:hideMark/>
          </w:tcPr>
          <w:p w14:paraId="19C1A312" w14:textId="77777777" w:rsidR="0069240C" w:rsidRPr="0069240C" w:rsidRDefault="0069240C" w:rsidP="0069240C">
            <w:pPr>
              <w:spacing w:before="120" w:after="120"/>
              <w:jc w:val="center"/>
              <w:cnfStyle w:val="000000000000" w:firstRow="0" w:lastRow="0" w:firstColumn="0" w:lastColumn="0" w:oddVBand="0" w:evenVBand="0" w:oddHBand="0" w:evenHBand="0" w:firstRowFirstColumn="0" w:firstRowLastColumn="0" w:lastRowFirstColumn="0" w:lastRowLastColumn="0"/>
              <w:rPr>
                <w:rFonts w:cs="Arial"/>
                <w:color w:val="0D0D0D"/>
              </w:rPr>
            </w:pPr>
            <w:r w:rsidRPr="0069240C">
              <w:rPr>
                <w:rFonts w:cs="Arial"/>
                <w:color w:val="0D0D0D"/>
              </w:rPr>
              <w:t>3.50%</w:t>
            </w:r>
          </w:p>
        </w:tc>
      </w:tr>
      <w:tr w:rsidR="0069240C" w:rsidRPr="0069240C" w14:paraId="53D11A0F" w14:textId="77777777">
        <w:trPr>
          <w:trHeight w:val="339"/>
        </w:trPr>
        <w:tc>
          <w:tcPr>
            <w:cnfStyle w:val="001000000000" w:firstRow="0" w:lastRow="0" w:firstColumn="1" w:lastColumn="0" w:oddVBand="0" w:evenVBand="0" w:oddHBand="0" w:evenHBand="0" w:firstRowFirstColumn="0" w:firstRowLastColumn="0" w:lastRowFirstColumn="0" w:lastRowLastColumn="0"/>
            <w:tcW w:w="3516" w:type="dxa"/>
            <w:tcBorders>
              <w:top w:val="single" w:sz="4" w:space="0" w:color="A6A6A6"/>
              <w:left w:val="single" w:sz="4" w:space="0" w:color="A6A6A6"/>
              <w:bottom w:val="single" w:sz="4" w:space="0" w:color="A6A6A6"/>
              <w:right w:val="single" w:sz="4" w:space="0" w:color="A6A6A6"/>
            </w:tcBorders>
            <w:hideMark/>
          </w:tcPr>
          <w:p w14:paraId="04E72B98" w14:textId="77777777" w:rsidR="0069240C" w:rsidRPr="0069240C" w:rsidRDefault="0069240C" w:rsidP="0069240C">
            <w:pPr>
              <w:spacing w:before="120" w:after="120"/>
              <w:jc w:val="center"/>
              <w:rPr>
                <w:rFonts w:cs="Arial"/>
                <w:color w:val="0D0D0D"/>
              </w:rPr>
            </w:pPr>
            <w:r w:rsidRPr="0069240C">
              <w:rPr>
                <w:rFonts w:cs="Arial"/>
                <w:color w:val="0D0D0D"/>
              </w:rPr>
              <w:t>Years 6 to 10</w:t>
            </w:r>
          </w:p>
        </w:tc>
        <w:tc>
          <w:tcPr>
            <w:tcW w:w="2316" w:type="dxa"/>
            <w:tcBorders>
              <w:top w:val="single" w:sz="4" w:space="0" w:color="A6A6A6"/>
              <w:left w:val="single" w:sz="4" w:space="0" w:color="A6A6A6"/>
              <w:bottom w:val="single" w:sz="4" w:space="0" w:color="A6A6A6"/>
              <w:right w:val="single" w:sz="4" w:space="0" w:color="A6A6A6"/>
            </w:tcBorders>
            <w:hideMark/>
          </w:tcPr>
          <w:p w14:paraId="338015CD" w14:textId="77777777" w:rsidR="0069240C" w:rsidRPr="0069240C" w:rsidRDefault="0069240C" w:rsidP="0069240C">
            <w:pPr>
              <w:spacing w:before="120" w:after="120"/>
              <w:jc w:val="center"/>
              <w:cnfStyle w:val="000000000000" w:firstRow="0" w:lastRow="0" w:firstColumn="0" w:lastColumn="0" w:oddVBand="0" w:evenVBand="0" w:oddHBand="0" w:evenHBand="0" w:firstRowFirstColumn="0" w:firstRowLastColumn="0" w:lastRowFirstColumn="0" w:lastRowLastColumn="0"/>
              <w:rPr>
                <w:rFonts w:cs="Arial"/>
                <w:color w:val="0D0D0D"/>
              </w:rPr>
            </w:pPr>
            <w:r w:rsidRPr="0069240C">
              <w:rPr>
                <w:rFonts w:cs="Arial"/>
                <w:color w:val="0D0D0D"/>
              </w:rPr>
              <w:t>3.50%</w:t>
            </w:r>
          </w:p>
        </w:tc>
      </w:tr>
      <w:tr w:rsidR="0069240C" w:rsidRPr="0069240C" w14:paraId="1CD427D5" w14:textId="77777777">
        <w:trPr>
          <w:trHeight w:val="339"/>
        </w:trPr>
        <w:tc>
          <w:tcPr>
            <w:cnfStyle w:val="001000000000" w:firstRow="0" w:lastRow="0" w:firstColumn="1" w:lastColumn="0" w:oddVBand="0" w:evenVBand="0" w:oddHBand="0" w:evenHBand="0" w:firstRowFirstColumn="0" w:firstRowLastColumn="0" w:lastRowFirstColumn="0" w:lastRowLastColumn="0"/>
            <w:tcW w:w="3516" w:type="dxa"/>
            <w:tcBorders>
              <w:top w:val="single" w:sz="4" w:space="0" w:color="A6A6A6"/>
              <w:left w:val="single" w:sz="4" w:space="0" w:color="A6A6A6"/>
              <w:bottom w:val="single" w:sz="4" w:space="0" w:color="A6A6A6"/>
              <w:right w:val="single" w:sz="4" w:space="0" w:color="A6A6A6"/>
            </w:tcBorders>
            <w:hideMark/>
          </w:tcPr>
          <w:p w14:paraId="17E1A152" w14:textId="77777777" w:rsidR="0069240C" w:rsidRPr="0069240C" w:rsidRDefault="0069240C" w:rsidP="0069240C">
            <w:pPr>
              <w:spacing w:before="120" w:after="120"/>
              <w:jc w:val="center"/>
              <w:rPr>
                <w:rFonts w:cs="Arial"/>
                <w:color w:val="0D0D0D"/>
              </w:rPr>
            </w:pPr>
            <w:r w:rsidRPr="0069240C">
              <w:rPr>
                <w:rFonts w:cs="Arial"/>
                <w:color w:val="0D0D0D"/>
              </w:rPr>
              <w:t>Years 10+</w:t>
            </w:r>
          </w:p>
        </w:tc>
        <w:tc>
          <w:tcPr>
            <w:tcW w:w="2316" w:type="dxa"/>
            <w:tcBorders>
              <w:top w:val="single" w:sz="4" w:space="0" w:color="A6A6A6"/>
              <w:left w:val="single" w:sz="4" w:space="0" w:color="A6A6A6"/>
              <w:bottom w:val="single" w:sz="4" w:space="0" w:color="A6A6A6"/>
              <w:right w:val="single" w:sz="4" w:space="0" w:color="A6A6A6"/>
            </w:tcBorders>
            <w:hideMark/>
          </w:tcPr>
          <w:p w14:paraId="45F68188" w14:textId="77777777" w:rsidR="0069240C" w:rsidRPr="0069240C" w:rsidRDefault="0069240C" w:rsidP="0069240C">
            <w:pPr>
              <w:spacing w:before="120" w:after="120"/>
              <w:jc w:val="center"/>
              <w:cnfStyle w:val="000000000000" w:firstRow="0" w:lastRow="0" w:firstColumn="0" w:lastColumn="0" w:oddVBand="0" w:evenVBand="0" w:oddHBand="0" w:evenHBand="0" w:firstRowFirstColumn="0" w:firstRowLastColumn="0" w:lastRowFirstColumn="0" w:lastRowLastColumn="0"/>
              <w:rPr>
                <w:rFonts w:cs="Arial"/>
                <w:color w:val="0D0D0D"/>
              </w:rPr>
            </w:pPr>
            <w:r w:rsidRPr="0069240C">
              <w:rPr>
                <w:rFonts w:cs="Arial"/>
                <w:color w:val="0D0D0D"/>
              </w:rPr>
              <w:t>3.50%</w:t>
            </w:r>
          </w:p>
        </w:tc>
      </w:tr>
    </w:tbl>
    <w:p w14:paraId="1208DFA9" w14:textId="77777777" w:rsidR="0069240C" w:rsidRPr="0069240C" w:rsidRDefault="0069240C" w:rsidP="0069240C">
      <w:pPr>
        <w:ind w:left="567" w:hanging="567"/>
        <w:jc w:val="both"/>
        <w:rPr>
          <w:rFonts w:ascii="Calibri" w:hAnsi="Calibri" w:cs="Arial"/>
          <w:b/>
          <w:color w:val="0D0D0D"/>
          <w:sz w:val="24"/>
          <w:szCs w:val="24"/>
        </w:rPr>
      </w:pPr>
    </w:p>
    <w:p w14:paraId="79792298" w14:textId="77777777" w:rsidR="0069240C" w:rsidRPr="0069240C" w:rsidRDefault="0069240C" w:rsidP="0069240C">
      <w:pPr>
        <w:ind w:left="567" w:hanging="567"/>
        <w:jc w:val="both"/>
        <w:rPr>
          <w:rFonts w:eastAsia="Arial" w:cs="Arial"/>
          <w:color w:val="0D0D0D"/>
          <w:spacing w:val="-5"/>
          <w:sz w:val="24"/>
          <w:szCs w:val="24"/>
          <w:lang w:val="en-AU" w:eastAsia="en-US"/>
        </w:rPr>
      </w:pPr>
      <w:r w:rsidRPr="0069240C">
        <w:rPr>
          <w:rFonts w:eastAsia="Arial" w:cs="Arial"/>
          <w:color w:val="0D0D0D"/>
          <w:spacing w:val="-5"/>
          <w:sz w:val="24"/>
          <w:szCs w:val="24"/>
          <w:lang w:val="en-AU" w:eastAsia="en-US"/>
        </w:rPr>
        <w:tab/>
        <w:t>As there are so many variables at this time, caution must be exercised in respect of all interest rate forecasts.</w:t>
      </w:r>
    </w:p>
    <w:p w14:paraId="37311702" w14:textId="77777777" w:rsidR="0069240C" w:rsidRPr="0069240C" w:rsidRDefault="0069240C" w:rsidP="0069240C">
      <w:pPr>
        <w:ind w:left="567" w:hanging="567"/>
        <w:jc w:val="both"/>
        <w:rPr>
          <w:rFonts w:eastAsia="Arial" w:cs="Arial"/>
          <w:color w:val="0D0D0D"/>
          <w:spacing w:val="-5"/>
          <w:sz w:val="24"/>
          <w:szCs w:val="24"/>
          <w:lang w:val="en-AU" w:eastAsia="en-US"/>
        </w:rPr>
      </w:pPr>
    </w:p>
    <w:p w14:paraId="714C6FE1" w14:textId="77777777" w:rsidR="0069240C" w:rsidRPr="0069240C" w:rsidRDefault="0069240C" w:rsidP="0069240C">
      <w:pPr>
        <w:ind w:left="567" w:hanging="567"/>
        <w:jc w:val="both"/>
        <w:rPr>
          <w:rFonts w:eastAsia="Arial" w:cs="Arial"/>
          <w:color w:val="0D0D0D"/>
          <w:spacing w:val="-5"/>
          <w:sz w:val="24"/>
          <w:szCs w:val="24"/>
          <w:lang w:val="en-AU" w:eastAsia="en-US"/>
        </w:rPr>
      </w:pPr>
      <w:r w:rsidRPr="0069240C">
        <w:rPr>
          <w:rFonts w:eastAsia="Arial" w:cs="Arial"/>
          <w:color w:val="0D0D0D"/>
          <w:spacing w:val="-5"/>
          <w:sz w:val="24"/>
          <w:szCs w:val="24"/>
          <w:lang w:val="en-AU" w:eastAsia="en-US"/>
        </w:rPr>
        <w:tab/>
        <w:t xml:space="preserve">For its cash flow generated balances (cash required for liquidity purposes), the Council will seek to utilise its instant access and notice accounts, money market funds and short-dated deposits, (overnight to 100 days) to benefit from the compounding of interest.  </w:t>
      </w:r>
    </w:p>
    <w:p w14:paraId="1C6D07DF" w14:textId="77777777" w:rsidR="0069240C" w:rsidRPr="0069240C" w:rsidRDefault="0069240C" w:rsidP="0069240C">
      <w:pPr>
        <w:ind w:left="567" w:hanging="567"/>
        <w:jc w:val="both"/>
        <w:rPr>
          <w:rFonts w:eastAsia="Arial" w:cs="Arial"/>
          <w:color w:val="0D0D0D"/>
          <w:spacing w:val="-5"/>
          <w:sz w:val="24"/>
          <w:szCs w:val="24"/>
          <w:lang w:val="en-AU" w:eastAsia="en-US"/>
        </w:rPr>
      </w:pPr>
    </w:p>
    <w:p w14:paraId="1DD3B6AD" w14:textId="77777777" w:rsidR="0069240C" w:rsidRPr="0069240C" w:rsidRDefault="0069240C" w:rsidP="0069240C">
      <w:pPr>
        <w:ind w:left="567" w:hanging="567"/>
        <w:jc w:val="both"/>
        <w:rPr>
          <w:rFonts w:eastAsia="Arial" w:cs="Arial"/>
          <w:color w:val="0D0D0D"/>
          <w:spacing w:val="-5"/>
          <w:sz w:val="24"/>
          <w:szCs w:val="24"/>
          <w:lang w:val="en-AU" w:eastAsia="en-US"/>
        </w:rPr>
      </w:pPr>
      <w:r w:rsidRPr="0069240C">
        <w:rPr>
          <w:rFonts w:eastAsia="Arial" w:cs="Arial"/>
          <w:color w:val="0D0D0D"/>
          <w:spacing w:val="-5"/>
          <w:sz w:val="24"/>
          <w:szCs w:val="24"/>
          <w:lang w:val="en-AU" w:eastAsia="en-US"/>
        </w:rPr>
        <w:tab/>
      </w:r>
      <w:r w:rsidRPr="0069240C">
        <w:rPr>
          <w:rFonts w:eastAsia="Arial" w:cs="Arial"/>
          <w:b/>
          <w:bCs/>
          <w:color w:val="0D0D0D"/>
          <w:spacing w:val="-5"/>
          <w:sz w:val="24"/>
          <w:szCs w:val="24"/>
          <w:lang w:val="en-AU" w:eastAsia="en-US"/>
        </w:rPr>
        <w:t>Change of investment strategy</w:t>
      </w:r>
      <w:r w:rsidRPr="0069240C">
        <w:rPr>
          <w:rFonts w:eastAsia="Arial" w:cs="Arial"/>
          <w:color w:val="0D0D0D"/>
          <w:spacing w:val="-5"/>
          <w:sz w:val="24"/>
          <w:szCs w:val="24"/>
          <w:lang w:val="en-AU" w:eastAsia="en-US"/>
        </w:rPr>
        <w:t xml:space="preserve"> - The Council’s investment strategy is consistent with the prior year investment strategy.</w:t>
      </w:r>
    </w:p>
    <w:p w14:paraId="5E13DB52" w14:textId="77777777" w:rsidR="0069240C" w:rsidRPr="0069240C" w:rsidRDefault="0069240C" w:rsidP="0069240C">
      <w:pPr>
        <w:ind w:left="567" w:hanging="567"/>
        <w:jc w:val="both"/>
        <w:rPr>
          <w:rFonts w:eastAsia="Arial" w:cs="Arial"/>
          <w:color w:val="0D0D0D"/>
          <w:spacing w:val="-5"/>
          <w:sz w:val="24"/>
          <w:szCs w:val="24"/>
          <w:lang w:val="en-AU" w:eastAsia="en-US"/>
        </w:rPr>
      </w:pPr>
    </w:p>
    <w:p w14:paraId="3AD1B5C7" w14:textId="77777777" w:rsidR="0069240C" w:rsidRPr="0069240C" w:rsidRDefault="0069240C" w:rsidP="0069240C">
      <w:pPr>
        <w:ind w:left="567" w:hanging="567"/>
        <w:jc w:val="both"/>
        <w:rPr>
          <w:rFonts w:eastAsia="Arial" w:cs="Arial"/>
          <w:color w:val="0D0D0D"/>
          <w:spacing w:val="-5"/>
          <w:sz w:val="24"/>
          <w:szCs w:val="24"/>
          <w:lang w:val="en-AU" w:eastAsia="en-US"/>
        </w:rPr>
      </w:pPr>
      <w:r w:rsidRPr="0069240C">
        <w:rPr>
          <w:rFonts w:eastAsia="Arial" w:cs="Arial"/>
          <w:color w:val="0D0D0D"/>
          <w:spacing w:val="-5"/>
          <w:sz w:val="24"/>
          <w:szCs w:val="24"/>
          <w:lang w:val="en-AU" w:eastAsia="en-US"/>
        </w:rPr>
        <w:lastRenderedPageBreak/>
        <w:tab/>
      </w:r>
      <w:r w:rsidRPr="0069240C">
        <w:rPr>
          <w:rFonts w:eastAsia="Arial" w:cs="Arial"/>
          <w:b/>
          <w:bCs/>
          <w:color w:val="0D0D0D"/>
          <w:spacing w:val="-5"/>
          <w:sz w:val="24"/>
          <w:szCs w:val="24"/>
          <w:lang w:val="en-AU" w:eastAsia="en-US"/>
        </w:rPr>
        <w:t>Investment treasury indicator and limit</w:t>
      </w:r>
      <w:r w:rsidRPr="0069240C">
        <w:rPr>
          <w:rFonts w:eastAsia="Arial" w:cs="Arial"/>
          <w:color w:val="0D0D0D"/>
          <w:spacing w:val="-5"/>
          <w:sz w:val="24"/>
          <w:szCs w:val="24"/>
          <w:lang w:val="en-AU" w:eastAsia="en-US"/>
        </w:rPr>
        <w:t xml:space="preserve"> - total principal funds invested for greater than 365 days. These limits are set </w:t>
      </w:r>
      <w:proofErr w:type="gramStart"/>
      <w:r w:rsidRPr="0069240C">
        <w:rPr>
          <w:rFonts w:eastAsia="Arial" w:cs="Arial"/>
          <w:color w:val="0D0D0D"/>
          <w:spacing w:val="-5"/>
          <w:sz w:val="24"/>
          <w:szCs w:val="24"/>
          <w:lang w:val="en-AU" w:eastAsia="en-US"/>
        </w:rPr>
        <w:t>with regard to</w:t>
      </w:r>
      <w:proofErr w:type="gramEnd"/>
      <w:r w:rsidRPr="0069240C">
        <w:rPr>
          <w:rFonts w:eastAsia="Arial" w:cs="Arial"/>
          <w:color w:val="0D0D0D"/>
          <w:spacing w:val="-5"/>
          <w:sz w:val="24"/>
          <w:szCs w:val="24"/>
          <w:lang w:val="en-AU" w:eastAsia="en-US"/>
        </w:rPr>
        <w:t xml:space="preserve"> the Council’s liquidity requirements and to reduce the need for early sale of an investment and are based on the availability of funds after each year-end.</w:t>
      </w:r>
    </w:p>
    <w:p w14:paraId="1A3756BB" w14:textId="77777777" w:rsidR="0069240C" w:rsidRPr="0069240C" w:rsidRDefault="0069240C" w:rsidP="0069240C">
      <w:pPr>
        <w:ind w:left="567" w:hanging="567"/>
        <w:jc w:val="both"/>
        <w:rPr>
          <w:rFonts w:eastAsia="Arial" w:cs="Arial"/>
          <w:color w:val="0D0D0D"/>
          <w:spacing w:val="-5"/>
          <w:sz w:val="24"/>
          <w:szCs w:val="24"/>
          <w:highlight w:val="yellow"/>
          <w:lang w:val="en-AU" w:eastAsia="en-US"/>
        </w:rPr>
      </w:pPr>
    </w:p>
    <w:p w14:paraId="1B4D4D7B" w14:textId="10F66EDD" w:rsidR="0069240C" w:rsidRPr="0069240C" w:rsidRDefault="0069240C" w:rsidP="0069240C">
      <w:pPr>
        <w:ind w:left="567" w:hanging="567"/>
        <w:rPr>
          <w:rFonts w:cs="Arial"/>
          <w:b/>
          <w:sz w:val="24"/>
          <w:szCs w:val="24"/>
          <w:lang w:eastAsia="en-US"/>
        </w:rPr>
      </w:pPr>
      <w:r w:rsidRPr="0069240C">
        <w:rPr>
          <w:rFonts w:cs="Arial"/>
          <w:b/>
          <w:sz w:val="24"/>
          <w:szCs w:val="24"/>
          <w:lang w:eastAsia="en-US"/>
        </w:rPr>
        <w:t>4.</w:t>
      </w:r>
      <w:r>
        <w:rPr>
          <w:rFonts w:cs="Arial"/>
          <w:b/>
          <w:sz w:val="24"/>
          <w:szCs w:val="24"/>
          <w:lang w:eastAsia="en-US"/>
        </w:rPr>
        <w:t>9</w:t>
      </w:r>
      <w:r w:rsidRPr="0069240C">
        <w:rPr>
          <w:rFonts w:cs="Arial"/>
          <w:b/>
          <w:sz w:val="24"/>
          <w:szCs w:val="24"/>
          <w:lang w:eastAsia="en-US"/>
        </w:rPr>
        <w:tab/>
        <w:t>Investment performance / risk benchmarking</w:t>
      </w:r>
    </w:p>
    <w:p w14:paraId="7FA23395" w14:textId="77777777" w:rsidR="0069240C" w:rsidRPr="0069240C" w:rsidRDefault="0069240C" w:rsidP="0069240C">
      <w:pPr>
        <w:ind w:left="426"/>
        <w:rPr>
          <w:rFonts w:cs="Arial"/>
          <w:spacing w:val="-5"/>
          <w:sz w:val="24"/>
          <w:szCs w:val="24"/>
          <w:lang w:eastAsia="en-US"/>
        </w:rPr>
      </w:pPr>
    </w:p>
    <w:p w14:paraId="0CA1DB69" w14:textId="77777777" w:rsidR="0069240C" w:rsidRPr="0069240C" w:rsidRDefault="0069240C" w:rsidP="0069240C">
      <w:pPr>
        <w:ind w:left="567" w:hanging="567"/>
        <w:jc w:val="both"/>
        <w:rPr>
          <w:rFonts w:cs="Arial"/>
          <w:spacing w:val="-5"/>
          <w:sz w:val="24"/>
          <w:szCs w:val="24"/>
          <w:lang w:eastAsia="en-US"/>
        </w:rPr>
      </w:pPr>
      <w:r w:rsidRPr="0069240C">
        <w:rPr>
          <w:rFonts w:cs="Arial"/>
          <w:spacing w:val="-5"/>
          <w:sz w:val="24"/>
          <w:szCs w:val="24"/>
          <w:lang w:eastAsia="en-US"/>
        </w:rPr>
        <w:tab/>
        <w:t>This Council will use investment benchmarks to assess the investment portfolio performance for internally and externally managed funds.</w:t>
      </w:r>
    </w:p>
    <w:p w14:paraId="386AFD6C" w14:textId="77777777" w:rsidR="0069240C" w:rsidRPr="0069240C" w:rsidRDefault="0069240C" w:rsidP="0069240C">
      <w:pPr>
        <w:ind w:left="567" w:hanging="567"/>
        <w:jc w:val="both"/>
        <w:rPr>
          <w:rFonts w:cs="Arial"/>
          <w:spacing w:val="-5"/>
          <w:sz w:val="24"/>
          <w:szCs w:val="24"/>
          <w:lang w:eastAsia="en-US"/>
        </w:rPr>
      </w:pPr>
    </w:p>
    <w:p w14:paraId="7B88ED80" w14:textId="77777777" w:rsidR="0069240C" w:rsidRPr="0069240C" w:rsidRDefault="0069240C" w:rsidP="0069240C">
      <w:pPr>
        <w:ind w:left="567" w:hanging="567"/>
        <w:jc w:val="both"/>
        <w:rPr>
          <w:rFonts w:cs="Arial"/>
          <w:spacing w:val="-5"/>
          <w:sz w:val="24"/>
          <w:szCs w:val="24"/>
          <w:lang w:eastAsia="en-US"/>
        </w:rPr>
      </w:pPr>
      <w:r w:rsidRPr="0069240C">
        <w:rPr>
          <w:rFonts w:cs="Arial"/>
          <w:spacing w:val="-5"/>
          <w:sz w:val="24"/>
          <w:szCs w:val="24"/>
          <w:lang w:eastAsia="en-US"/>
        </w:rPr>
        <w:tab/>
      </w:r>
      <w:r w:rsidRPr="0069240C">
        <w:rPr>
          <w:rFonts w:cs="Arial"/>
          <w:b/>
          <w:bCs/>
          <w:spacing w:val="-5"/>
          <w:sz w:val="24"/>
          <w:szCs w:val="24"/>
          <w:lang w:eastAsia="en-US"/>
        </w:rPr>
        <w:t>Internal investment portfolio</w:t>
      </w:r>
      <w:r w:rsidRPr="0069240C">
        <w:rPr>
          <w:rFonts w:cs="Arial"/>
          <w:spacing w:val="-5"/>
          <w:sz w:val="24"/>
          <w:szCs w:val="24"/>
          <w:lang w:eastAsia="en-US"/>
        </w:rPr>
        <w:t xml:space="preserve"> - The SONIA (Sterling Overnight Index Average) rate will be used to compare the yield on the internal investments portfolio.  The measure is used to demonstrate the performance of the organisation.  SONIA is the rate published each day by the Bank of England and reflects overnight rates paid on eligible sterling denominated deposit transactions conducted the previous day.  The backward looking average </w:t>
      </w:r>
      <w:proofErr w:type="gramStart"/>
      <w:r w:rsidRPr="0069240C">
        <w:rPr>
          <w:rFonts w:cs="Arial"/>
          <w:spacing w:val="-5"/>
          <w:sz w:val="24"/>
          <w:szCs w:val="24"/>
          <w:lang w:eastAsia="en-US"/>
        </w:rPr>
        <w:t>7 day</w:t>
      </w:r>
      <w:proofErr w:type="gramEnd"/>
      <w:r w:rsidRPr="0069240C">
        <w:rPr>
          <w:rFonts w:cs="Arial"/>
          <w:spacing w:val="-5"/>
          <w:sz w:val="24"/>
          <w:szCs w:val="24"/>
          <w:lang w:eastAsia="en-US"/>
        </w:rPr>
        <w:t xml:space="preserve"> compound rate will be used over a quarter for comparison with the actual portfolio.  </w:t>
      </w:r>
    </w:p>
    <w:p w14:paraId="4F0C3C76" w14:textId="77777777" w:rsidR="0069240C" w:rsidRPr="0069240C" w:rsidRDefault="0069240C" w:rsidP="0069240C">
      <w:pPr>
        <w:ind w:left="567" w:hanging="567"/>
        <w:jc w:val="both"/>
        <w:rPr>
          <w:rFonts w:cs="Arial"/>
          <w:spacing w:val="-5"/>
          <w:sz w:val="24"/>
          <w:szCs w:val="24"/>
          <w:lang w:eastAsia="en-US"/>
        </w:rPr>
      </w:pPr>
    </w:p>
    <w:p w14:paraId="2378698A" w14:textId="77777777" w:rsidR="0069240C" w:rsidRPr="0069240C" w:rsidRDefault="0069240C" w:rsidP="0069240C">
      <w:pPr>
        <w:ind w:left="567" w:hanging="567"/>
        <w:jc w:val="both"/>
        <w:rPr>
          <w:rFonts w:cs="Arial"/>
          <w:spacing w:val="-5"/>
          <w:sz w:val="24"/>
          <w:szCs w:val="24"/>
          <w:lang w:eastAsia="en-US"/>
        </w:rPr>
      </w:pPr>
      <w:r w:rsidRPr="0069240C">
        <w:rPr>
          <w:rFonts w:cs="Arial"/>
          <w:spacing w:val="-5"/>
          <w:sz w:val="24"/>
          <w:szCs w:val="24"/>
          <w:lang w:eastAsia="en-US"/>
        </w:rPr>
        <w:tab/>
        <w:t>It is important to understand that the benchmark has changed from previous years as the 7-day LIBID rate is no longer published by the Bank of England.  This benchmark is an active benchmark as it reflects the movement of the market.  Using the backward-looking SONIA rates data reflects the environment in which investments are made.</w:t>
      </w:r>
    </w:p>
    <w:p w14:paraId="5D759179" w14:textId="77777777" w:rsidR="0069240C" w:rsidRPr="0069240C" w:rsidRDefault="0069240C" w:rsidP="0069240C">
      <w:pPr>
        <w:ind w:left="567" w:hanging="567"/>
        <w:jc w:val="both"/>
        <w:rPr>
          <w:rFonts w:cs="Arial"/>
          <w:spacing w:val="-5"/>
          <w:sz w:val="24"/>
          <w:szCs w:val="24"/>
          <w:lang w:eastAsia="en-US"/>
        </w:rPr>
      </w:pPr>
    </w:p>
    <w:p w14:paraId="025AAD98" w14:textId="77777777" w:rsidR="0069240C" w:rsidRPr="0069240C" w:rsidRDefault="0069240C" w:rsidP="0069240C">
      <w:pPr>
        <w:ind w:left="567" w:hanging="567"/>
        <w:jc w:val="both"/>
        <w:rPr>
          <w:rFonts w:cs="Arial"/>
          <w:spacing w:val="-5"/>
          <w:sz w:val="24"/>
          <w:szCs w:val="24"/>
          <w:lang w:eastAsia="en-US"/>
        </w:rPr>
      </w:pPr>
      <w:r w:rsidRPr="0069240C">
        <w:rPr>
          <w:rFonts w:cs="Arial"/>
          <w:spacing w:val="-5"/>
          <w:sz w:val="24"/>
          <w:szCs w:val="24"/>
          <w:lang w:eastAsia="en-US"/>
        </w:rPr>
        <w:tab/>
        <w:t>This benchmark is a simple guide to maximum risk, so could be breached from time to time, depending on movements in interest rates and counterparty criteria.  The purpose of the benchmark is that officers will monitor the current and trend position and amend the operational strategy to manage risk as conditions change.  Any breach of the benchmark will be reported, with supporting reasons in the quarterly monitoring reports.</w:t>
      </w:r>
    </w:p>
    <w:p w14:paraId="10E41F43" w14:textId="77777777" w:rsidR="0069240C" w:rsidRDefault="0069240C" w:rsidP="00E8383A">
      <w:pPr>
        <w:pStyle w:val="ListParagraph"/>
        <w:ind w:left="709"/>
        <w:jc w:val="both"/>
        <w:rPr>
          <w:rFonts w:cs="Arial"/>
          <w:sz w:val="24"/>
          <w:szCs w:val="24"/>
        </w:rPr>
      </w:pPr>
    </w:p>
    <w:p w14:paraId="0946FC35" w14:textId="52961615" w:rsidR="00FB533A" w:rsidRDefault="00FB533A" w:rsidP="00503937">
      <w:pPr>
        <w:pStyle w:val="body"/>
        <w:ind w:left="567" w:hanging="567"/>
        <w:jc w:val="left"/>
        <w:rPr>
          <w:noProof w:val="0"/>
          <w:sz w:val="24"/>
          <w:szCs w:val="24"/>
        </w:rPr>
      </w:pPr>
    </w:p>
    <w:p w14:paraId="39CAA4F2" w14:textId="77777777" w:rsidR="00FB533A" w:rsidRPr="001533EE" w:rsidRDefault="00FB533A" w:rsidP="007C5C5A">
      <w:pPr>
        <w:pStyle w:val="body"/>
        <w:ind w:left="567" w:hanging="567"/>
        <w:jc w:val="left"/>
        <w:rPr>
          <w:noProof w:val="0"/>
          <w:sz w:val="24"/>
          <w:szCs w:val="24"/>
        </w:rPr>
      </w:pPr>
    </w:p>
    <w:p w14:paraId="1419B4DC" w14:textId="6E1B1EA7" w:rsidR="00274FD7" w:rsidRPr="001533EE" w:rsidRDefault="00274FD7" w:rsidP="00274FD7">
      <w:pPr>
        <w:ind w:left="709" w:hanging="709"/>
        <w:jc w:val="both"/>
        <w:rPr>
          <w:rFonts w:cs="Arial"/>
          <w:b/>
          <w:bCs/>
          <w:sz w:val="24"/>
          <w:szCs w:val="24"/>
        </w:rPr>
      </w:pPr>
      <w:r w:rsidRPr="001533EE">
        <w:rPr>
          <w:rFonts w:cs="Arial"/>
          <w:b/>
          <w:bCs/>
          <w:sz w:val="24"/>
          <w:szCs w:val="24"/>
        </w:rPr>
        <w:t>5.</w:t>
      </w:r>
      <w:r w:rsidR="0063170D">
        <w:rPr>
          <w:rFonts w:cs="Arial"/>
          <w:b/>
          <w:bCs/>
          <w:sz w:val="24"/>
          <w:szCs w:val="24"/>
        </w:rPr>
        <w:t>0</w:t>
      </w:r>
      <w:r w:rsidRPr="001533EE">
        <w:rPr>
          <w:rFonts w:cs="Arial"/>
          <w:b/>
          <w:bCs/>
          <w:sz w:val="24"/>
          <w:szCs w:val="24"/>
        </w:rPr>
        <w:tab/>
        <w:t>APPENDICES</w:t>
      </w:r>
    </w:p>
    <w:p w14:paraId="5D50CF88" w14:textId="77777777" w:rsidR="00117274" w:rsidRPr="001533EE" w:rsidRDefault="00117274" w:rsidP="00117274">
      <w:pPr>
        <w:ind w:left="567" w:hanging="567"/>
        <w:jc w:val="both"/>
        <w:rPr>
          <w:rFonts w:cs="Arial"/>
          <w:sz w:val="24"/>
          <w:szCs w:val="24"/>
        </w:rPr>
      </w:pPr>
    </w:p>
    <w:p w14:paraId="27FA12FA" w14:textId="1DB1E062" w:rsidR="00274FD7" w:rsidRDefault="00274FD7" w:rsidP="00274FD7">
      <w:pPr>
        <w:ind w:left="2268" w:hanging="1559"/>
        <w:rPr>
          <w:rFonts w:cs="Arial"/>
          <w:sz w:val="24"/>
          <w:szCs w:val="24"/>
        </w:rPr>
      </w:pPr>
      <w:r w:rsidRPr="001533EE">
        <w:rPr>
          <w:rFonts w:cs="Arial"/>
          <w:sz w:val="24"/>
          <w:szCs w:val="24"/>
        </w:rPr>
        <w:t>Appendix A</w:t>
      </w:r>
      <w:r w:rsidRPr="001533EE">
        <w:rPr>
          <w:rFonts w:cs="Arial"/>
          <w:sz w:val="24"/>
          <w:szCs w:val="24"/>
        </w:rPr>
        <w:tab/>
        <w:t>The Capital Prudential and Treasury Indicators 202</w:t>
      </w:r>
      <w:r w:rsidR="00602652">
        <w:rPr>
          <w:rFonts w:cs="Arial"/>
          <w:sz w:val="24"/>
          <w:szCs w:val="24"/>
        </w:rPr>
        <w:t>6</w:t>
      </w:r>
      <w:r w:rsidRPr="001533EE">
        <w:rPr>
          <w:rFonts w:cs="Arial"/>
          <w:sz w:val="24"/>
          <w:szCs w:val="24"/>
        </w:rPr>
        <w:t>/2</w:t>
      </w:r>
      <w:r w:rsidR="00602652">
        <w:rPr>
          <w:rFonts w:cs="Arial"/>
          <w:sz w:val="24"/>
          <w:szCs w:val="24"/>
        </w:rPr>
        <w:t>7</w:t>
      </w:r>
      <w:r w:rsidRPr="001533EE">
        <w:rPr>
          <w:rFonts w:cs="Arial"/>
          <w:sz w:val="24"/>
          <w:szCs w:val="24"/>
        </w:rPr>
        <w:t xml:space="preserve"> </w:t>
      </w:r>
      <w:r w:rsidR="00AD615C" w:rsidRPr="001533EE">
        <w:rPr>
          <w:rFonts w:cs="Arial"/>
          <w:sz w:val="24"/>
          <w:szCs w:val="24"/>
        </w:rPr>
        <w:t>to</w:t>
      </w:r>
      <w:r w:rsidRPr="001533EE">
        <w:rPr>
          <w:rFonts w:cs="Arial"/>
          <w:sz w:val="24"/>
          <w:szCs w:val="24"/>
        </w:rPr>
        <w:t xml:space="preserve"> 202</w:t>
      </w:r>
      <w:r w:rsidR="00602652">
        <w:rPr>
          <w:rFonts w:cs="Arial"/>
          <w:sz w:val="24"/>
          <w:szCs w:val="24"/>
        </w:rPr>
        <w:t>8</w:t>
      </w:r>
      <w:r w:rsidRPr="001533EE">
        <w:rPr>
          <w:rFonts w:cs="Arial"/>
          <w:sz w:val="24"/>
          <w:szCs w:val="24"/>
        </w:rPr>
        <w:t>/2</w:t>
      </w:r>
      <w:r w:rsidR="00602652">
        <w:rPr>
          <w:rFonts w:cs="Arial"/>
          <w:sz w:val="24"/>
          <w:szCs w:val="24"/>
        </w:rPr>
        <w:t>9</w:t>
      </w:r>
    </w:p>
    <w:p w14:paraId="6FF6960C" w14:textId="77777777" w:rsidR="00274FD7" w:rsidRPr="001533EE" w:rsidRDefault="00274FD7" w:rsidP="00274FD7">
      <w:pPr>
        <w:ind w:left="2268" w:hanging="1559"/>
        <w:rPr>
          <w:rFonts w:cs="Arial"/>
          <w:sz w:val="24"/>
          <w:szCs w:val="24"/>
        </w:rPr>
      </w:pPr>
    </w:p>
    <w:p w14:paraId="62C49006" w14:textId="02078224" w:rsidR="00274FD7" w:rsidRPr="001533EE" w:rsidRDefault="00274FD7" w:rsidP="00274FD7">
      <w:pPr>
        <w:ind w:left="2268" w:hanging="1559"/>
        <w:rPr>
          <w:rFonts w:cs="Arial"/>
          <w:b/>
          <w:bCs/>
          <w:sz w:val="24"/>
          <w:szCs w:val="24"/>
        </w:rPr>
      </w:pPr>
      <w:r w:rsidRPr="001533EE">
        <w:rPr>
          <w:rFonts w:cs="Arial"/>
          <w:sz w:val="24"/>
          <w:szCs w:val="24"/>
        </w:rPr>
        <w:t xml:space="preserve">Appendix </w:t>
      </w:r>
      <w:r w:rsidR="007C1D12" w:rsidRPr="001533EE">
        <w:rPr>
          <w:rFonts w:cs="Arial"/>
          <w:sz w:val="24"/>
          <w:szCs w:val="24"/>
        </w:rPr>
        <w:t>B</w:t>
      </w:r>
      <w:r w:rsidRPr="001533EE">
        <w:rPr>
          <w:rFonts w:cs="Arial"/>
          <w:sz w:val="24"/>
          <w:szCs w:val="24"/>
        </w:rPr>
        <w:t xml:space="preserve"> </w:t>
      </w:r>
      <w:r w:rsidRPr="001533EE">
        <w:rPr>
          <w:rFonts w:cs="Arial"/>
          <w:b/>
          <w:bCs/>
          <w:sz w:val="24"/>
          <w:szCs w:val="24"/>
        </w:rPr>
        <w:t>*</w:t>
      </w:r>
      <w:r w:rsidRPr="001533EE">
        <w:rPr>
          <w:rFonts w:cs="Arial"/>
          <w:sz w:val="24"/>
          <w:szCs w:val="24"/>
        </w:rPr>
        <w:tab/>
        <w:t xml:space="preserve">Approved Lending List </w:t>
      </w:r>
      <w:r w:rsidRPr="001533EE">
        <w:rPr>
          <w:rFonts w:cs="Arial"/>
          <w:b/>
          <w:bCs/>
          <w:sz w:val="24"/>
          <w:szCs w:val="24"/>
        </w:rPr>
        <w:t>*</w:t>
      </w:r>
    </w:p>
    <w:p w14:paraId="07E29229" w14:textId="77777777" w:rsidR="00274FD7" w:rsidRPr="001533EE" w:rsidRDefault="00274FD7" w:rsidP="007C1D12">
      <w:pPr>
        <w:rPr>
          <w:rFonts w:cs="Arial"/>
          <w:sz w:val="24"/>
          <w:szCs w:val="24"/>
        </w:rPr>
      </w:pPr>
    </w:p>
    <w:p w14:paraId="185611C5" w14:textId="75184729" w:rsidR="00274FD7" w:rsidRPr="001533EE" w:rsidRDefault="00274FD7" w:rsidP="00274FD7">
      <w:pPr>
        <w:ind w:left="2268" w:hanging="1559"/>
        <w:rPr>
          <w:rFonts w:cs="Arial"/>
          <w:sz w:val="24"/>
          <w:szCs w:val="24"/>
        </w:rPr>
      </w:pPr>
      <w:r w:rsidRPr="001533EE">
        <w:rPr>
          <w:rFonts w:cs="Arial"/>
          <w:sz w:val="24"/>
          <w:szCs w:val="24"/>
        </w:rPr>
        <w:t xml:space="preserve">Appendix </w:t>
      </w:r>
      <w:r w:rsidR="007C1D12" w:rsidRPr="001533EE">
        <w:rPr>
          <w:rFonts w:cs="Arial"/>
          <w:sz w:val="24"/>
          <w:szCs w:val="24"/>
        </w:rPr>
        <w:t>C</w:t>
      </w:r>
      <w:r w:rsidRPr="001533EE">
        <w:rPr>
          <w:rFonts w:cs="Arial"/>
          <w:sz w:val="24"/>
          <w:szCs w:val="24"/>
        </w:rPr>
        <w:tab/>
        <w:t>Treasury Management Scheme of Delegation</w:t>
      </w:r>
    </w:p>
    <w:p w14:paraId="20A6D437" w14:textId="77777777" w:rsidR="00274FD7" w:rsidRPr="001533EE" w:rsidRDefault="00274FD7" w:rsidP="00274FD7">
      <w:pPr>
        <w:ind w:left="2268" w:hanging="1559"/>
        <w:rPr>
          <w:rFonts w:cs="Arial"/>
          <w:sz w:val="24"/>
          <w:szCs w:val="24"/>
        </w:rPr>
      </w:pPr>
    </w:p>
    <w:p w14:paraId="38F47374" w14:textId="0F0D9DB1" w:rsidR="00274FD7" w:rsidRPr="001533EE" w:rsidRDefault="00274FD7" w:rsidP="00274FD7">
      <w:pPr>
        <w:ind w:left="2268" w:hanging="1559"/>
        <w:rPr>
          <w:rFonts w:cs="Arial"/>
          <w:sz w:val="24"/>
          <w:szCs w:val="24"/>
        </w:rPr>
      </w:pPr>
      <w:r w:rsidRPr="001533EE">
        <w:rPr>
          <w:rFonts w:cs="Arial"/>
          <w:sz w:val="24"/>
          <w:szCs w:val="24"/>
        </w:rPr>
        <w:t xml:space="preserve">Appendix </w:t>
      </w:r>
      <w:r w:rsidR="007C1D12" w:rsidRPr="001533EE">
        <w:rPr>
          <w:rFonts w:cs="Arial"/>
          <w:sz w:val="24"/>
          <w:szCs w:val="24"/>
        </w:rPr>
        <w:t>D</w:t>
      </w:r>
      <w:r w:rsidRPr="001533EE">
        <w:rPr>
          <w:rFonts w:cs="Arial"/>
          <w:sz w:val="24"/>
          <w:szCs w:val="24"/>
        </w:rPr>
        <w:tab/>
        <w:t xml:space="preserve">The Treasury Management Role of the </w:t>
      </w:r>
      <w:r w:rsidR="0056053B" w:rsidRPr="0056053B">
        <w:rPr>
          <w:rFonts w:cs="Arial"/>
          <w:sz w:val="24"/>
          <w:szCs w:val="24"/>
        </w:rPr>
        <w:t xml:space="preserve">Assistant Director of Resources Police, Fire and Crime Functions (Deputy s73 Officer) </w:t>
      </w:r>
    </w:p>
    <w:p w14:paraId="758BBC70" w14:textId="42C9BFF1" w:rsidR="00FA2EA8" w:rsidRPr="001533EE" w:rsidRDefault="00FA2EA8" w:rsidP="00E23C28">
      <w:pPr>
        <w:jc w:val="both"/>
        <w:rPr>
          <w:rFonts w:cs="Arial"/>
          <w:b/>
          <w:sz w:val="24"/>
          <w:szCs w:val="24"/>
        </w:rPr>
      </w:pPr>
    </w:p>
    <w:p w14:paraId="6307D6C4" w14:textId="5B17656C" w:rsidR="007F22DA" w:rsidRPr="00B65A83" w:rsidRDefault="00DC6C69" w:rsidP="00B65A83">
      <w:pPr>
        <w:ind w:left="709" w:hanging="709"/>
        <w:jc w:val="both"/>
        <w:rPr>
          <w:rFonts w:cs="Arial"/>
          <w:sz w:val="24"/>
          <w:szCs w:val="24"/>
        </w:rPr>
      </w:pPr>
      <w:r w:rsidRPr="001533EE">
        <w:rPr>
          <w:rFonts w:cs="Arial"/>
          <w:b/>
          <w:sz w:val="24"/>
          <w:szCs w:val="24"/>
        </w:rPr>
        <w:tab/>
      </w:r>
      <w:r w:rsidRPr="001A051A">
        <w:rPr>
          <w:rFonts w:cs="Arial"/>
          <w:b/>
          <w:sz w:val="24"/>
          <w:szCs w:val="24"/>
        </w:rPr>
        <w:t xml:space="preserve">* </w:t>
      </w:r>
      <w:r w:rsidRPr="001A051A">
        <w:rPr>
          <w:rFonts w:cs="Arial"/>
          <w:bCs/>
          <w:sz w:val="24"/>
          <w:szCs w:val="24"/>
        </w:rPr>
        <w:t>Appendi</w:t>
      </w:r>
      <w:r w:rsidR="007C1D12" w:rsidRPr="001A051A">
        <w:rPr>
          <w:rFonts w:cs="Arial"/>
          <w:bCs/>
          <w:sz w:val="24"/>
          <w:szCs w:val="24"/>
        </w:rPr>
        <w:t>x</w:t>
      </w:r>
      <w:r w:rsidRPr="001A051A">
        <w:rPr>
          <w:rFonts w:cs="Arial"/>
          <w:bCs/>
          <w:sz w:val="24"/>
          <w:szCs w:val="24"/>
        </w:rPr>
        <w:t xml:space="preserve"> drawn</w:t>
      </w:r>
      <w:r w:rsidRPr="001A051A">
        <w:rPr>
          <w:rFonts w:cs="Arial"/>
          <w:sz w:val="24"/>
          <w:szCs w:val="24"/>
        </w:rPr>
        <w:t xml:space="preserve"> from NYC’s Annual Treasury Management and Investment Strategy for 202</w:t>
      </w:r>
      <w:r w:rsidR="00602652" w:rsidRPr="001A051A">
        <w:rPr>
          <w:rFonts w:cs="Arial"/>
          <w:sz w:val="24"/>
          <w:szCs w:val="24"/>
        </w:rPr>
        <w:t>5</w:t>
      </w:r>
      <w:r w:rsidRPr="001A051A">
        <w:rPr>
          <w:rFonts w:cs="Arial"/>
          <w:sz w:val="24"/>
          <w:szCs w:val="24"/>
        </w:rPr>
        <w:t>/2</w:t>
      </w:r>
      <w:r w:rsidR="00602652" w:rsidRPr="001A051A">
        <w:rPr>
          <w:rFonts w:cs="Arial"/>
          <w:sz w:val="24"/>
          <w:szCs w:val="24"/>
        </w:rPr>
        <w:t>6</w:t>
      </w:r>
      <w:r w:rsidR="00AB6A78" w:rsidRPr="001A051A">
        <w:rPr>
          <w:rFonts w:cs="Arial"/>
          <w:sz w:val="24"/>
          <w:szCs w:val="24"/>
        </w:rPr>
        <w:t xml:space="preserve"> which</w:t>
      </w:r>
      <w:r w:rsidRPr="001A051A">
        <w:rPr>
          <w:rFonts w:cs="Arial"/>
          <w:sz w:val="24"/>
          <w:szCs w:val="24"/>
        </w:rPr>
        <w:t xml:space="preserve"> was approved by its Executive on </w:t>
      </w:r>
      <w:r w:rsidR="005A209E" w:rsidRPr="001A051A">
        <w:rPr>
          <w:rFonts w:cs="Arial"/>
          <w:sz w:val="24"/>
          <w:szCs w:val="24"/>
        </w:rPr>
        <w:t>2</w:t>
      </w:r>
      <w:r w:rsidR="0069240C" w:rsidRPr="001A051A">
        <w:rPr>
          <w:rFonts w:cs="Arial"/>
          <w:sz w:val="24"/>
          <w:szCs w:val="24"/>
        </w:rPr>
        <w:t>0th</w:t>
      </w:r>
      <w:r w:rsidRPr="001A051A">
        <w:rPr>
          <w:rFonts w:cs="Arial"/>
          <w:sz w:val="24"/>
          <w:szCs w:val="24"/>
        </w:rPr>
        <w:t xml:space="preserve"> January 202</w:t>
      </w:r>
      <w:r w:rsidR="0069240C" w:rsidRPr="001A051A">
        <w:rPr>
          <w:rFonts w:cs="Arial"/>
          <w:sz w:val="24"/>
          <w:szCs w:val="24"/>
        </w:rPr>
        <w:t>6</w:t>
      </w:r>
      <w:r w:rsidRPr="001A051A">
        <w:rPr>
          <w:rFonts w:cs="Arial"/>
          <w:sz w:val="24"/>
          <w:szCs w:val="24"/>
        </w:rPr>
        <w:t xml:space="preserve"> and will go to Council for formal approval on </w:t>
      </w:r>
      <w:r w:rsidR="001A051A" w:rsidRPr="001A051A">
        <w:rPr>
          <w:rFonts w:cs="Arial"/>
          <w:sz w:val="24"/>
          <w:szCs w:val="24"/>
        </w:rPr>
        <w:t>13</w:t>
      </w:r>
      <w:r w:rsidR="00AB6A78" w:rsidRPr="001A051A">
        <w:rPr>
          <w:rFonts w:cs="Arial"/>
          <w:sz w:val="24"/>
          <w:szCs w:val="24"/>
          <w:vertAlign w:val="superscript"/>
        </w:rPr>
        <w:t>th</w:t>
      </w:r>
      <w:r w:rsidR="005A209E" w:rsidRPr="001A051A">
        <w:rPr>
          <w:rFonts w:cs="Arial"/>
          <w:sz w:val="24"/>
          <w:szCs w:val="24"/>
        </w:rPr>
        <w:t xml:space="preserve"> </w:t>
      </w:r>
      <w:r w:rsidR="00AB6A78" w:rsidRPr="001A051A">
        <w:rPr>
          <w:rFonts w:cs="Arial"/>
          <w:sz w:val="24"/>
          <w:szCs w:val="24"/>
        </w:rPr>
        <w:t xml:space="preserve">February </w:t>
      </w:r>
      <w:r w:rsidRPr="001A051A">
        <w:rPr>
          <w:rFonts w:cs="Arial"/>
          <w:sz w:val="24"/>
          <w:szCs w:val="24"/>
        </w:rPr>
        <w:t>202</w:t>
      </w:r>
      <w:r w:rsidR="0069240C" w:rsidRPr="001A051A">
        <w:rPr>
          <w:rFonts w:cs="Arial"/>
          <w:sz w:val="24"/>
          <w:szCs w:val="24"/>
        </w:rPr>
        <w:t>6</w:t>
      </w:r>
      <w:r w:rsidR="00B65A83" w:rsidRPr="001A051A">
        <w:rPr>
          <w:rFonts w:cs="Arial"/>
          <w:sz w:val="24"/>
          <w:szCs w:val="24"/>
        </w:rPr>
        <w:t>.</w:t>
      </w:r>
    </w:p>
    <w:p w14:paraId="775E34D9" w14:textId="77777777" w:rsidR="007F22DA" w:rsidRDefault="007F22DA" w:rsidP="002A4C92">
      <w:pPr>
        <w:jc w:val="right"/>
        <w:rPr>
          <w:rFonts w:cs="Arial"/>
          <w:b/>
          <w:sz w:val="24"/>
          <w:szCs w:val="24"/>
        </w:rPr>
      </w:pPr>
    </w:p>
    <w:p w14:paraId="4B9F67D0" w14:textId="77777777" w:rsidR="007F22DA" w:rsidRDefault="007F22DA" w:rsidP="002A4C92">
      <w:pPr>
        <w:jc w:val="right"/>
        <w:rPr>
          <w:rFonts w:cs="Arial"/>
          <w:b/>
          <w:sz w:val="24"/>
          <w:szCs w:val="24"/>
        </w:rPr>
      </w:pPr>
    </w:p>
    <w:p w14:paraId="6AAEF53A" w14:textId="77777777" w:rsidR="007F22DA" w:rsidRDefault="007F22DA" w:rsidP="002A4C92">
      <w:pPr>
        <w:jc w:val="right"/>
        <w:rPr>
          <w:rFonts w:cs="Arial"/>
          <w:b/>
          <w:sz w:val="24"/>
          <w:szCs w:val="24"/>
        </w:rPr>
      </w:pPr>
    </w:p>
    <w:p w14:paraId="6030DF1F" w14:textId="77777777" w:rsidR="007F22DA" w:rsidRDefault="007F22DA" w:rsidP="002A4C92">
      <w:pPr>
        <w:jc w:val="right"/>
        <w:rPr>
          <w:rFonts w:cs="Arial"/>
          <w:b/>
          <w:sz w:val="24"/>
          <w:szCs w:val="24"/>
        </w:rPr>
      </w:pPr>
    </w:p>
    <w:p w14:paraId="088F4B5C" w14:textId="77777777" w:rsidR="007F22DA" w:rsidRDefault="007F22DA" w:rsidP="002A4C92">
      <w:pPr>
        <w:jc w:val="right"/>
        <w:rPr>
          <w:rFonts w:cs="Arial"/>
          <w:b/>
          <w:sz w:val="24"/>
          <w:szCs w:val="24"/>
        </w:rPr>
      </w:pPr>
    </w:p>
    <w:p w14:paraId="57E99151" w14:textId="77777777" w:rsidR="007F22DA" w:rsidRDefault="007F22DA" w:rsidP="002A4C92">
      <w:pPr>
        <w:jc w:val="right"/>
        <w:rPr>
          <w:rFonts w:cs="Arial"/>
          <w:b/>
          <w:sz w:val="24"/>
          <w:szCs w:val="24"/>
        </w:rPr>
      </w:pPr>
    </w:p>
    <w:p w14:paraId="633B1890" w14:textId="77777777" w:rsidR="0056053B" w:rsidRDefault="0056053B" w:rsidP="002A4C92">
      <w:pPr>
        <w:jc w:val="right"/>
        <w:rPr>
          <w:rFonts w:cs="Arial"/>
          <w:b/>
          <w:sz w:val="24"/>
          <w:szCs w:val="24"/>
        </w:rPr>
      </w:pPr>
    </w:p>
    <w:p w14:paraId="08E34B5B" w14:textId="77777777" w:rsidR="0056053B" w:rsidRDefault="0056053B" w:rsidP="002A4C92">
      <w:pPr>
        <w:jc w:val="right"/>
        <w:rPr>
          <w:rFonts w:cs="Arial"/>
          <w:b/>
          <w:sz w:val="24"/>
          <w:szCs w:val="24"/>
        </w:rPr>
      </w:pPr>
    </w:p>
    <w:p w14:paraId="23E9A964" w14:textId="77777777" w:rsidR="00336C48" w:rsidRDefault="00336C48" w:rsidP="00B65A83">
      <w:pPr>
        <w:rPr>
          <w:rFonts w:cs="Arial"/>
          <w:b/>
          <w:sz w:val="24"/>
          <w:szCs w:val="24"/>
        </w:rPr>
      </w:pPr>
    </w:p>
    <w:p w14:paraId="10F9E527" w14:textId="6240A352" w:rsidR="000A65FD" w:rsidRPr="001533EE" w:rsidRDefault="00274FD7" w:rsidP="002A4C92">
      <w:pPr>
        <w:jc w:val="right"/>
        <w:rPr>
          <w:rFonts w:cs="Arial"/>
          <w:b/>
          <w:sz w:val="24"/>
          <w:szCs w:val="24"/>
        </w:rPr>
      </w:pPr>
      <w:r w:rsidRPr="001533EE">
        <w:rPr>
          <w:rFonts w:cs="Arial"/>
          <w:b/>
          <w:sz w:val="24"/>
          <w:szCs w:val="24"/>
        </w:rPr>
        <w:t>A</w:t>
      </w:r>
      <w:r w:rsidR="000B3EB6" w:rsidRPr="001533EE">
        <w:rPr>
          <w:rFonts w:cs="Arial"/>
          <w:b/>
          <w:sz w:val="24"/>
          <w:szCs w:val="24"/>
        </w:rPr>
        <w:t>PPENDIX</w:t>
      </w:r>
      <w:r w:rsidRPr="001533EE">
        <w:rPr>
          <w:rFonts w:cs="Arial"/>
          <w:b/>
          <w:sz w:val="24"/>
          <w:szCs w:val="24"/>
        </w:rPr>
        <w:t xml:space="preserve"> A</w:t>
      </w:r>
    </w:p>
    <w:p w14:paraId="0F5E1D17" w14:textId="77777777" w:rsidR="007F22DA" w:rsidRDefault="007F22DA" w:rsidP="00AB6A78">
      <w:pPr>
        <w:jc w:val="both"/>
        <w:rPr>
          <w:rFonts w:cs="Arial"/>
          <w:b/>
          <w:sz w:val="24"/>
          <w:szCs w:val="24"/>
        </w:rPr>
      </w:pPr>
    </w:p>
    <w:p w14:paraId="69F6A6EF" w14:textId="3C7AD520" w:rsidR="00E23C28" w:rsidRPr="001533EE" w:rsidRDefault="0063170D" w:rsidP="00AB6A78">
      <w:pPr>
        <w:jc w:val="both"/>
        <w:rPr>
          <w:rFonts w:cs="Arial"/>
          <w:b/>
          <w:sz w:val="24"/>
          <w:szCs w:val="24"/>
        </w:rPr>
      </w:pPr>
      <w:r w:rsidRPr="0063170D">
        <w:rPr>
          <w:rFonts w:cs="Arial"/>
          <w:b/>
          <w:sz w:val="24"/>
          <w:szCs w:val="24"/>
        </w:rPr>
        <w:t>1.0</w:t>
      </w:r>
      <w:r w:rsidRPr="0063170D">
        <w:rPr>
          <w:rFonts w:cs="Arial"/>
          <w:b/>
          <w:sz w:val="24"/>
          <w:szCs w:val="24"/>
        </w:rPr>
        <w:tab/>
      </w:r>
      <w:r w:rsidR="00537E7A" w:rsidRPr="00C762C0">
        <w:rPr>
          <w:rFonts w:cs="Arial"/>
          <w:b/>
          <w:sz w:val="24"/>
          <w:szCs w:val="24"/>
        </w:rPr>
        <w:t xml:space="preserve">PRUDENTIAL INDICATORS </w:t>
      </w:r>
      <w:r w:rsidR="0042615D" w:rsidRPr="00C762C0">
        <w:rPr>
          <w:rFonts w:cs="Arial"/>
          <w:b/>
          <w:sz w:val="24"/>
          <w:szCs w:val="24"/>
        </w:rPr>
        <w:t>20</w:t>
      </w:r>
      <w:r w:rsidR="00FF6528" w:rsidRPr="00C762C0">
        <w:rPr>
          <w:rFonts w:cs="Arial"/>
          <w:b/>
          <w:sz w:val="24"/>
          <w:szCs w:val="24"/>
        </w:rPr>
        <w:t>2</w:t>
      </w:r>
      <w:r w:rsidR="00602652" w:rsidRPr="00C762C0">
        <w:rPr>
          <w:rFonts w:cs="Arial"/>
          <w:b/>
          <w:sz w:val="24"/>
          <w:szCs w:val="24"/>
        </w:rPr>
        <w:t>6</w:t>
      </w:r>
      <w:r w:rsidR="00CC2888" w:rsidRPr="00C762C0">
        <w:rPr>
          <w:rFonts w:cs="Arial"/>
          <w:b/>
          <w:sz w:val="24"/>
          <w:szCs w:val="24"/>
        </w:rPr>
        <w:t>/</w:t>
      </w:r>
      <w:r w:rsidR="0042615D" w:rsidRPr="00C762C0">
        <w:rPr>
          <w:rFonts w:cs="Arial"/>
          <w:b/>
          <w:sz w:val="24"/>
          <w:szCs w:val="24"/>
        </w:rPr>
        <w:t>2</w:t>
      </w:r>
      <w:r w:rsidR="00602652" w:rsidRPr="00C762C0">
        <w:rPr>
          <w:rFonts w:cs="Arial"/>
          <w:b/>
          <w:sz w:val="24"/>
          <w:szCs w:val="24"/>
        </w:rPr>
        <w:t>7</w:t>
      </w:r>
      <w:r w:rsidR="00CC2888" w:rsidRPr="00C762C0">
        <w:rPr>
          <w:rFonts w:cs="Arial"/>
          <w:b/>
          <w:sz w:val="24"/>
          <w:szCs w:val="24"/>
        </w:rPr>
        <w:t xml:space="preserve"> TO</w:t>
      </w:r>
      <w:r w:rsidR="00E23C28" w:rsidRPr="00C762C0">
        <w:rPr>
          <w:rFonts w:cs="Arial"/>
          <w:b/>
          <w:sz w:val="24"/>
          <w:szCs w:val="24"/>
        </w:rPr>
        <w:t xml:space="preserve"> 20</w:t>
      </w:r>
      <w:r w:rsidR="00842D23" w:rsidRPr="00C762C0">
        <w:rPr>
          <w:rFonts w:cs="Arial"/>
          <w:b/>
          <w:sz w:val="24"/>
          <w:szCs w:val="24"/>
        </w:rPr>
        <w:t>2</w:t>
      </w:r>
      <w:r w:rsidR="00602652" w:rsidRPr="00C762C0">
        <w:rPr>
          <w:rFonts w:cs="Arial"/>
          <w:b/>
          <w:sz w:val="24"/>
          <w:szCs w:val="24"/>
        </w:rPr>
        <w:t>8</w:t>
      </w:r>
      <w:r w:rsidR="00C226CF" w:rsidRPr="00C762C0">
        <w:rPr>
          <w:rFonts w:cs="Arial"/>
          <w:b/>
          <w:sz w:val="24"/>
          <w:szCs w:val="24"/>
        </w:rPr>
        <w:t>/2</w:t>
      </w:r>
      <w:r w:rsidR="00602652" w:rsidRPr="00C762C0">
        <w:rPr>
          <w:rFonts w:cs="Arial"/>
          <w:b/>
          <w:sz w:val="24"/>
          <w:szCs w:val="24"/>
        </w:rPr>
        <w:t>9</w:t>
      </w:r>
    </w:p>
    <w:p w14:paraId="366F1237" w14:textId="77777777" w:rsidR="00E23C28" w:rsidRPr="001533EE" w:rsidRDefault="00E23C28" w:rsidP="009506E2">
      <w:pPr>
        <w:tabs>
          <w:tab w:val="left" w:pos="993"/>
        </w:tabs>
        <w:jc w:val="both"/>
        <w:rPr>
          <w:rFonts w:cs="Arial"/>
          <w:sz w:val="24"/>
          <w:szCs w:val="24"/>
        </w:rPr>
      </w:pPr>
    </w:p>
    <w:p w14:paraId="5E1A9754" w14:textId="7C15EBF7" w:rsidR="00537E7A" w:rsidRPr="001533EE" w:rsidRDefault="00AB6A78" w:rsidP="00791189">
      <w:pPr>
        <w:ind w:left="567" w:hanging="567"/>
        <w:jc w:val="both"/>
        <w:rPr>
          <w:rFonts w:cs="Arial"/>
          <w:sz w:val="24"/>
          <w:szCs w:val="24"/>
          <w:u w:val="single"/>
        </w:rPr>
      </w:pPr>
      <w:r>
        <w:rPr>
          <w:rFonts w:cs="Arial"/>
          <w:sz w:val="24"/>
          <w:szCs w:val="24"/>
        </w:rPr>
        <w:t>1.1</w:t>
      </w:r>
      <w:r>
        <w:rPr>
          <w:rFonts w:cs="Arial"/>
          <w:sz w:val="24"/>
          <w:szCs w:val="24"/>
        </w:rPr>
        <w:tab/>
      </w:r>
      <w:r w:rsidR="00537E7A" w:rsidRPr="001533EE">
        <w:rPr>
          <w:rFonts w:cs="Arial"/>
          <w:b/>
          <w:bCs/>
          <w:sz w:val="24"/>
          <w:szCs w:val="24"/>
          <w:u w:val="single"/>
        </w:rPr>
        <w:t>Prudential Indicators</w:t>
      </w:r>
    </w:p>
    <w:p w14:paraId="3D2C5911" w14:textId="77777777" w:rsidR="00537E7A" w:rsidRPr="001533EE" w:rsidRDefault="00537E7A" w:rsidP="00537E7A">
      <w:pPr>
        <w:jc w:val="both"/>
        <w:rPr>
          <w:rFonts w:cs="Arial"/>
          <w:sz w:val="24"/>
          <w:szCs w:val="24"/>
          <w:u w:val="single"/>
        </w:rPr>
      </w:pPr>
    </w:p>
    <w:p w14:paraId="6961BC10" w14:textId="2E0D37E1" w:rsidR="00537E7A" w:rsidRPr="009E13A7" w:rsidRDefault="00537E7A" w:rsidP="00791189">
      <w:pPr>
        <w:ind w:left="567"/>
        <w:jc w:val="both"/>
        <w:rPr>
          <w:rFonts w:cs="Arial"/>
          <w:sz w:val="24"/>
          <w:szCs w:val="24"/>
        </w:rPr>
      </w:pPr>
      <w:r w:rsidRPr="009E13A7">
        <w:rPr>
          <w:rFonts w:cs="Arial"/>
          <w:sz w:val="24"/>
          <w:szCs w:val="24"/>
        </w:rPr>
        <w:t>The Prudential Code requires authorities (including the</w:t>
      </w:r>
      <w:r w:rsidR="00AB6A78" w:rsidRPr="009E13A7">
        <w:rPr>
          <w:rFonts w:cs="Arial"/>
          <w:sz w:val="24"/>
          <w:szCs w:val="24"/>
        </w:rPr>
        <w:t xml:space="preserve"> </w:t>
      </w:r>
      <w:proofErr w:type="gramStart"/>
      <w:r w:rsidR="007C580A" w:rsidRPr="009E13A7">
        <w:rPr>
          <w:rFonts w:cs="Arial"/>
          <w:sz w:val="24"/>
          <w:szCs w:val="24"/>
        </w:rPr>
        <w:t>Mayor</w:t>
      </w:r>
      <w:proofErr w:type="gramEnd"/>
      <w:r w:rsidRPr="009E13A7">
        <w:rPr>
          <w:rFonts w:cs="Arial"/>
          <w:sz w:val="24"/>
          <w:szCs w:val="24"/>
        </w:rPr>
        <w:t xml:space="preserve">) to </w:t>
      </w:r>
      <w:r w:rsidR="00944B99" w:rsidRPr="009E13A7">
        <w:rPr>
          <w:rFonts w:cs="Arial"/>
          <w:sz w:val="24"/>
          <w:szCs w:val="24"/>
        </w:rPr>
        <w:t>self-regulate</w:t>
      </w:r>
      <w:r w:rsidRPr="009E13A7">
        <w:rPr>
          <w:rFonts w:cs="Arial"/>
          <w:sz w:val="24"/>
          <w:szCs w:val="24"/>
        </w:rPr>
        <w:t xml:space="preserve"> the affordability, prudence and sustainability of their capital expenditure and borrowing plans, by setting estimates and limits, and by publishing actuals, for a range of Prudential Indicators.</w:t>
      </w:r>
    </w:p>
    <w:p w14:paraId="65789850" w14:textId="77777777" w:rsidR="00537E7A" w:rsidRPr="009E13A7" w:rsidRDefault="00537E7A" w:rsidP="00537E7A">
      <w:pPr>
        <w:jc w:val="both"/>
        <w:rPr>
          <w:rFonts w:cs="Arial"/>
          <w:sz w:val="24"/>
          <w:szCs w:val="24"/>
        </w:rPr>
      </w:pPr>
    </w:p>
    <w:p w14:paraId="5E78217B" w14:textId="77777777" w:rsidR="00537E7A" w:rsidRPr="009E13A7" w:rsidRDefault="00537E7A" w:rsidP="00537E7A">
      <w:pPr>
        <w:ind w:firstLine="567"/>
        <w:jc w:val="both"/>
        <w:rPr>
          <w:rFonts w:cs="Arial"/>
          <w:sz w:val="24"/>
          <w:szCs w:val="24"/>
        </w:rPr>
      </w:pPr>
      <w:r w:rsidRPr="009E13A7">
        <w:rPr>
          <w:rFonts w:cs="Arial"/>
          <w:sz w:val="24"/>
          <w:szCs w:val="24"/>
        </w:rPr>
        <w:t>The key objectives of the Prudential Code are to ensure that:</w:t>
      </w:r>
    </w:p>
    <w:p w14:paraId="41A96584" w14:textId="77777777" w:rsidR="000C22DC" w:rsidRPr="009E13A7" w:rsidRDefault="000C22DC" w:rsidP="00537E7A">
      <w:pPr>
        <w:ind w:firstLine="567"/>
        <w:jc w:val="both"/>
        <w:rPr>
          <w:rFonts w:cs="Arial"/>
          <w:sz w:val="24"/>
          <w:szCs w:val="24"/>
        </w:rPr>
      </w:pPr>
    </w:p>
    <w:p w14:paraId="1AA86022" w14:textId="77777777" w:rsidR="00537E7A" w:rsidRPr="009E13A7" w:rsidRDefault="00537E7A" w:rsidP="006A2F03">
      <w:pPr>
        <w:pStyle w:val="ListParagraph"/>
        <w:numPr>
          <w:ilvl w:val="0"/>
          <w:numId w:val="14"/>
        </w:numPr>
        <w:spacing w:after="160" w:line="259" w:lineRule="auto"/>
        <w:jc w:val="both"/>
        <w:rPr>
          <w:rFonts w:cs="Arial"/>
          <w:sz w:val="24"/>
          <w:szCs w:val="24"/>
        </w:rPr>
      </w:pPr>
      <w:r w:rsidRPr="009E13A7">
        <w:rPr>
          <w:rFonts w:cs="Arial"/>
          <w:sz w:val="24"/>
          <w:szCs w:val="24"/>
        </w:rPr>
        <w:t xml:space="preserve">Capital expenditure plans are affordable, </w:t>
      </w:r>
      <w:r w:rsidR="00341B25" w:rsidRPr="009E13A7">
        <w:rPr>
          <w:rFonts w:cs="Arial"/>
          <w:sz w:val="24"/>
          <w:szCs w:val="24"/>
        </w:rPr>
        <w:t>prudent</w:t>
      </w:r>
      <w:r w:rsidR="00031025" w:rsidRPr="009E13A7">
        <w:rPr>
          <w:rFonts w:cs="Arial"/>
          <w:sz w:val="24"/>
          <w:szCs w:val="24"/>
        </w:rPr>
        <w:t>,</w:t>
      </w:r>
      <w:r w:rsidRPr="009E13A7">
        <w:rPr>
          <w:rFonts w:cs="Arial"/>
          <w:sz w:val="24"/>
          <w:szCs w:val="24"/>
        </w:rPr>
        <w:t xml:space="preserve"> and sustainable</w:t>
      </w:r>
    </w:p>
    <w:p w14:paraId="487CB066" w14:textId="77777777" w:rsidR="00537E7A" w:rsidRPr="009E13A7" w:rsidRDefault="00537E7A" w:rsidP="006A2F03">
      <w:pPr>
        <w:pStyle w:val="ListParagraph"/>
        <w:numPr>
          <w:ilvl w:val="0"/>
          <w:numId w:val="14"/>
        </w:numPr>
        <w:spacing w:after="160" w:line="259" w:lineRule="auto"/>
        <w:jc w:val="both"/>
        <w:rPr>
          <w:rFonts w:cs="Arial"/>
          <w:sz w:val="24"/>
          <w:szCs w:val="24"/>
        </w:rPr>
      </w:pPr>
      <w:r w:rsidRPr="009E13A7">
        <w:rPr>
          <w:rFonts w:cs="Arial"/>
          <w:sz w:val="24"/>
          <w:szCs w:val="24"/>
        </w:rPr>
        <w:t>Treasury Management decisions are taken in accordance with professional good practice and in full understanding of the risks involved and how these risks will be managed to levels that are acceptable.</w:t>
      </w:r>
    </w:p>
    <w:p w14:paraId="72880DCC" w14:textId="32E8F315" w:rsidR="00537E7A" w:rsidRPr="009E13A7" w:rsidRDefault="00537E7A" w:rsidP="00537E7A">
      <w:pPr>
        <w:ind w:left="567" w:hanging="567"/>
        <w:jc w:val="both"/>
        <w:rPr>
          <w:rFonts w:cs="Arial"/>
          <w:sz w:val="24"/>
          <w:szCs w:val="24"/>
        </w:rPr>
      </w:pPr>
      <w:r w:rsidRPr="009E13A7">
        <w:rPr>
          <w:rFonts w:cs="Arial"/>
          <w:sz w:val="24"/>
          <w:szCs w:val="24"/>
        </w:rPr>
        <w:t>1.2</w:t>
      </w:r>
      <w:r w:rsidRPr="009E13A7">
        <w:rPr>
          <w:rFonts w:cs="Arial"/>
          <w:sz w:val="24"/>
          <w:szCs w:val="24"/>
        </w:rPr>
        <w:tab/>
        <w:t xml:space="preserve">The Code imposes on </w:t>
      </w:r>
      <w:r w:rsidR="001369B2" w:rsidRPr="009E13A7">
        <w:rPr>
          <w:rFonts w:cs="Arial"/>
          <w:sz w:val="24"/>
          <w:szCs w:val="24"/>
        </w:rPr>
        <w:t>authorities’</w:t>
      </w:r>
      <w:r w:rsidRPr="009E13A7">
        <w:rPr>
          <w:rFonts w:cs="Arial"/>
          <w:sz w:val="24"/>
          <w:szCs w:val="24"/>
        </w:rPr>
        <w:t xml:space="preserve"> clear governance procedures for setting and revising of Prudential </w:t>
      </w:r>
      <w:r w:rsidR="00A070B0" w:rsidRPr="009E13A7">
        <w:rPr>
          <w:rFonts w:cs="Arial"/>
          <w:sz w:val="24"/>
          <w:szCs w:val="24"/>
        </w:rPr>
        <w:t>Indicators and</w:t>
      </w:r>
      <w:r w:rsidRPr="009E13A7">
        <w:rPr>
          <w:rFonts w:cs="Arial"/>
          <w:sz w:val="24"/>
          <w:szCs w:val="24"/>
        </w:rPr>
        <w:t xml:space="preserve"> describes the matters to which an authority will have regard when doing so.  This is designed to deliver accountability in taking capital </w:t>
      </w:r>
      <w:r w:rsidRPr="00B65A83">
        <w:rPr>
          <w:rFonts w:cs="Arial"/>
          <w:sz w:val="24"/>
          <w:szCs w:val="24"/>
        </w:rPr>
        <w:t xml:space="preserve">financing, borrowing and Treasury Management decisions.  A fundamental provision of the Prudential </w:t>
      </w:r>
      <w:r w:rsidR="005C73D3" w:rsidRPr="00B65A83">
        <w:rPr>
          <w:rFonts w:cs="Arial"/>
          <w:sz w:val="24"/>
          <w:szCs w:val="24"/>
        </w:rPr>
        <w:t>C</w:t>
      </w:r>
      <w:r w:rsidRPr="00B65A83">
        <w:rPr>
          <w:rFonts w:cs="Arial"/>
          <w:sz w:val="24"/>
          <w:szCs w:val="24"/>
        </w:rPr>
        <w:t xml:space="preserve">ode is that over the </w:t>
      </w:r>
      <w:r w:rsidR="00A070B0" w:rsidRPr="00B65A83">
        <w:rPr>
          <w:rFonts w:cs="Arial"/>
          <w:sz w:val="24"/>
          <w:szCs w:val="24"/>
        </w:rPr>
        <w:t>medium-term</w:t>
      </w:r>
      <w:r w:rsidR="00B65A83" w:rsidRPr="00B65A83">
        <w:rPr>
          <w:rFonts w:cs="Arial"/>
          <w:sz w:val="24"/>
          <w:szCs w:val="24"/>
        </w:rPr>
        <w:t>,</w:t>
      </w:r>
      <w:r w:rsidRPr="00B65A83">
        <w:rPr>
          <w:rFonts w:cs="Arial"/>
          <w:sz w:val="24"/>
          <w:szCs w:val="24"/>
        </w:rPr>
        <w:t xml:space="preserve"> net borrowing</w:t>
      </w:r>
      <w:r w:rsidRPr="009E13A7">
        <w:rPr>
          <w:rFonts w:cs="Arial"/>
          <w:sz w:val="24"/>
          <w:szCs w:val="24"/>
        </w:rPr>
        <w:t xml:space="preserve"> will only be for a capital purpose.</w:t>
      </w:r>
    </w:p>
    <w:p w14:paraId="688635A8" w14:textId="77777777" w:rsidR="00537E7A" w:rsidRPr="009E13A7" w:rsidRDefault="00537E7A" w:rsidP="00537E7A">
      <w:pPr>
        <w:jc w:val="both"/>
        <w:rPr>
          <w:rFonts w:cs="Arial"/>
          <w:sz w:val="24"/>
          <w:szCs w:val="24"/>
        </w:rPr>
      </w:pPr>
    </w:p>
    <w:p w14:paraId="7FC55341" w14:textId="166CBB17" w:rsidR="00537E7A" w:rsidRPr="001533EE" w:rsidRDefault="00537E7A" w:rsidP="00537E7A">
      <w:pPr>
        <w:ind w:left="567" w:hanging="567"/>
        <w:jc w:val="both"/>
        <w:rPr>
          <w:rFonts w:cs="Arial"/>
          <w:sz w:val="24"/>
          <w:szCs w:val="24"/>
        </w:rPr>
      </w:pPr>
      <w:r w:rsidRPr="009E13A7">
        <w:rPr>
          <w:rFonts w:cs="Arial"/>
          <w:sz w:val="24"/>
          <w:szCs w:val="24"/>
        </w:rPr>
        <w:t>1.3</w:t>
      </w:r>
      <w:r w:rsidRPr="009E13A7">
        <w:rPr>
          <w:rFonts w:cs="Arial"/>
          <w:sz w:val="24"/>
          <w:szCs w:val="24"/>
        </w:rPr>
        <w:tab/>
        <w:t xml:space="preserve">Under the Code, individual authorities are responsible for deciding the level of their affordable borrowing, having regard to the Code.  Under the Code, the </w:t>
      </w:r>
      <w:r w:rsidR="007C580A" w:rsidRPr="009E13A7">
        <w:rPr>
          <w:rFonts w:cs="Arial"/>
          <w:sz w:val="24"/>
          <w:szCs w:val="24"/>
        </w:rPr>
        <w:t>Mayor</w:t>
      </w:r>
      <w:r w:rsidR="00AB6A78" w:rsidRPr="009E13A7">
        <w:rPr>
          <w:rFonts w:cs="Arial"/>
          <w:sz w:val="24"/>
          <w:szCs w:val="24"/>
        </w:rPr>
        <w:t xml:space="preserve"> </w:t>
      </w:r>
      <w:r w:rsidRPr="009E13A7">
        <w:rPr>
          <w:rFonts w:cs="Arial"/>
          <w:sz w:val="24"/>
          <w:szCs w:val="24"/>
        </w:rPr>
        <w:t>is</w:t>
      </w:r>
      <w:r w:rsidRPr="001533EE">
        <w:rPr>
          <w:rFonts w:cs="Arial"/>
          <w:sz w:val="24"/>
          <w:szCs w:val="24"/>
        </w:rPr>
        <w:t xml:space="preserve"> required to set a range of Prudential Indicators for the financial year</w:t>
      </w:r>
      <w:r w:rsidR="000C22DC" w:rsidRPr="001533EE">
        <w:rPr>
          <w:rFonts w:cs="Arial"/>
          <w:sz w:val="24"/>
          <w:szCs w:val="24"/>
        </w:rPr>
        <w:t>s</w:t>
      </w:r>
      <w:r w:rsidRPr="001533EE">
        <w:rPr>
          <w:rFonts w:cs="Arial"/>
          <w:sz w:val="24"/>
          <w:szCs w:val="24"/>
        </w:rPr>
        <w:t xml:space="preserve"> </w:t>
      </w:r>
      <w:r w:rsidR="000C22DC" w:rsidRPr="001533EE">
        <w:rPr>
          <w:rFonts w:cs="Arial"/>
          <w:sz w:val="24"/>
          <w:szCs w:val="24"/>
        </w:rPr>
        <w:t>202</w:t>
      </w:r>
      <w:r w:rsidR="00602652">
        <w:rPr>
          <w:rFonts w:cs="Arial"/>
          <w:sz w:val="24"/>
          <w:szCs w:val="24"/>
        </w:rPr>
        <w:t>6</w:t>
      </w:r>
      <w:r w:rsidR="000C22DC" w:rsidRPr="001533EE">
        <w:rPr>
          <w:rFonts w:cs="Arial"/>
          <w:sz w:val="24"/>
          <w:szCs w:val="24"/>
        </w:rPr>
        <w:t>/2</w:t>
      </w:r>
      <w:r w:rsidR="00602652">
        <w:rPr>
          <w:rFonts w:cs="Arial"/>
          <w:sz w:val="24"/>
          <w:szCs w:val="24"/>
        </w:rPr>
        <w:t>7</w:t>
      </w:r>
      <w:r w:rsidR="000C22DC" w:rsidRPr="001533EE">
        <w:rPr>
          <w:rFonts w:cs="Arial"/>
          <w:sz w:val="24"/>
          <w:szCs w:val="24"/>
        </w:rPr>
        <w:t xml:space="preserve"> to 202</w:t>
      </w:r>
      <w:r w:rsidR="00602652">
        <w:rPr>
          <w:rFonts w:cs="Arial"/>
          <w:sz w:val="24"/>
          <w:szCs w:val="24"/>
        </w:rPr>
        <w:t>8</w:t>
      </w:r>
      <w:r w:rsidR="000C22DC" w:rsidRPr="001533EE">
        <w:rPr>
          <w:rFonts w:cs="Arial"/>
          <w:sz w:val="24"/>
          <w:szCs w:val="24"/>
        </w:rPr>
        <w:t>/2</w:t>
      </w:r>
      <w:r w:rsidR="00602652">
        <w:rPr>
          <w:rFonts w:cs="Arial"/>
          <w:sz w:val="24"/>
          <w:szCs w:val="24"/>
        </w:rPr>
        <w:t>9</w:t>
      </w:r>
      <w:r w:rsidR="000C22DC" w:rsidRPr="001533EE">
        <w:rPr>
          <w:rFonts w:cs="Arial"/>
          <w:sz w:val="24"/>
          <w:szCs w:val="24"/>
        </w:rPr>
        <w:t>.</w:t>
      </w:r>
    </w:p>
    <w:p w14:paraId="5017F406" w14:textId="77777777" w:rsidR="00537E7A" w:rsidRPr="001533EE" w:rsidRDefault="00537E7A" w:rsidP="00537E7A">
      <w:pPr>
        <w:jc w:val="both"/>
        <w:rPr>
          <w:rFonts w:cs="Arial"/>
          <w:sz w:val="24"/>
          <w:szCs w:val="24"/>
        </w:rPr>
      </w:pPr>
    </w:p>
    <w:p w14:paraId="41F97D7F" w14:textId="32D9F94C" w:rsidR="00537E7A" w:rsidRPr="001533EE" w:rsidRDefault="00537E7A" w:rsidP="00791189">
      <w:pPr>
        <w:ind w:left="567" w:hanging="567"/>
        <w:jc w:val="both"/>
        <w:rPr>
          <w:rFonts w:cs="Arial"/>
          <w:sz w:val="24"/>
          <w:szCs w:val="24"/>
        </w:rPr>
      </w:pPr>
      <w:r w:rsidRPr="001533EE">
        <w:rPr>
          <w:rFonts w:cs="Arial"/>
          <w:sz w:val="24"/>
          <w:szCs w:val="24"/>
        </w:rPr>
        <w:t>1.4</w:t>
      </w:r>
      <w:r w:rsidRPr="001533EE">
        <w:rPr>
          <w:rFonts w:cs="Arial"/>
          <w:sz w:val="24"/>
          <w:szCs w:val="24"/>
        </w:rPr>
        <w:tab/>
        <w:t xml:space="preserve">The Code states that Prudential Indicators for Treasury Management should be considered together with the Annual Investment Strategy. The indicators reflect the Capital Plan, existing commitments and associated financing costs as included within the </w:t>
      </w:r>
      <w:r w:rsidR="00A070B0" w:rsidRPr="001533EE">
        <w:rPr>
          <w:rFonts w:cs="Arial"/>
          <w:sz w:val="24"/>
          <w:szCs w:val="24"/>
        </w:rPr>
        <w:t>Medium-Term</w:t>
      </w:r>
      <w:r w:rsidRPr="001533EE">
        <w:rPr>
          <w:rFonts w:cs="Arial"/>
          <w:sz w:val="24"/>
          <w:szCs w:val="24"/>
        </w:rPr>
        <w:t xml:space="preserve"> Financial Plan (MTFP) 202</w:t>
      </w:r>
      <w:r w:rsidR="00AB6A78">
        <w:rPr>
          <w:rFonts w:cs="Arial"/>
          <w:sz w:val="24"/>
          <w:szCs w:val="24"/>
        </w:rPr>
        <w:t>6</w:t>
      </w:r>
      <w:r w:rsidR="000C22DC" w:rsidRPr="001533EE">
        <w:rPr>
          <w:rFonts w:cs="Arial"/>
          <w:sz w:val="24"/>
          <w:szCs w:val="24"/>
        </w:rPr>
        <w:t>/2</w:t>
      </w:r>
      <w:r w:rsidR="00AB6A78">
        <w:rPr>
          <w:rFonts w:cs="Arial"/>
          <w:sz w:val="24"/>
          <w:szCs w:val="24"/>
        </w:rPr>
        <w:t>7</w:t>
      </w:r>
      <w:r w:rsidRPr="001533EE">
        <w:rPr>
          <w:rFonts w:cs="Arial"/>
          <w:sz w:val="24"/>
          <w:szCs w:val="24"/>
        </w:rPr>
        <w:t xml:space="preserve"> to 202</w:t>
      </w:r>
      <w:r w:rsidR="00AB6A78">
        <w:rPr>
          <w:rFonts w:cs="Arial"/>
          <w:sz w:val="24"/>
          <w:szCs w:val="24"/>
        </w:rPr>
        <w:t>8</w:t>
      </w:r>
      <w:r w:rsidRPr="001533EE">
        <w:rPr>
          <w:rFonts w:cs="Arial"/>
          <w:sz w:val="24"/>
          <w:szCs w:val="24"/>
        </w:rPr>
        <w:t>/2</w:t>
      </w:r>
      <w:r w:rsidR="00AB6A78">
        <w:rPr>
          <w:rFonts w:cs="Arial"/>
          <w:sz w:val="24"/>
          <w:szCs w:val="24"/>
        </w:rPr>
        <w:t>9</w:t>
      </w:r>
      <w:r w:rsidR="000E087D" w:rsidRPr="001533EE">
        <w:rPr>
          <w:rFonts w:cs="Arial"/>
          <w:sz w:val="24"/>
          <w:szCs w:val="24"/>
        </w:rPr>
        <w:t>.</w:t>
      </w:r>
      <w:r w:rsidRPr="001533EE">
        <w:rPr>
          <w:rFonts w:cs="Arial"/>
          <w:sz w:val="24"/>
          <w:szCs w:val="24"/>
        </w:rPr>
        <w:t xml:space="preserve"> </w:t>
      </w:r>
    </w:p>
    <w:p w14:paraId="6FBB689F" w14:textId="77777777" w:rsidR="000A65FD" w:rsidRDefault="000A65FD" w:rsidP="00537E7A">
      <w:pPr>
        <w:jc w:val="both"/>
        <w:rPr>
          <w:rFonts w:cs="Arial"/>
          <w:sz w:val="24"/>
          <w:szCs w:val="24"/>
        </w:rPr>
      </w:pPr>
    </w:p>
    <w:p w14:paraId="7BF06B6D" w14:textId="77777777" w:rsidR="00C762C0" w:rsidRDefault="00C762C0" w:rsidP="00537E7A">
      <w:pPr>
        <w:jc w:val="both"/>
        <w:rPr>
          <w:rFonts w:cs="Arial"/>
          <w:sz w:val="24"/>
          <w:szCs w:val="24"/>
        </w:rPr>
      </w:pPr>
    </w:p>
    <w:p w14:paraId="712C25B3" w14:textId="77777777" w:rsidR="00C762C0" w:rsidRDefault="00C762C0" w:rsidP="00537E7A">
      <w:pPr>
        <w:jc w:val="both"/>
        <w:rPr>
          <w:rFonts w:cs="Arial"/>
          <w:sz w:val="24"/>
          <w:szCs w:val="24"/>
        </w:rPr>
      </w:pPr>
    </w:p>
    <w:p w14:paraId="6EAB8AD5" w14:textId="77777777" w:rsidR="00C762C0" w:rsidRDefault="00C762C0" w:rsidP="00537E7A">
      <w:pPr>
        <w:jc w:val="both"/>
        <w:rPr>
          <w:rFonts w:cs="Arial"/>
          <w:sz w:val="24"/>
          <w:szCs w:val="24"/>
        </w:rPr>
      </w:pPr>
    </w:p>
    <w:p w14:paraId="22C89765" w14:textId="77777777" w:rsidR="00C762C0" w:rsidRDefault="00C762C0" w:rsidP="00537E7A">
      <w:pPr>
        <w:jc w:val="both"/>
        <w:rPr>
          <w:rFonts w:cs="Arial"/>
          <w:sz w:val="24"/>
          <w:szCs w:val="24"/>
        </w:rPr>
      </w:pPr>
    </w:p>
    <w:p w14:paraId="29B084F8" w14:textId="77777777" w:rsidR="00C762C0" w:rsidRDefault="00C762C0" w:rsidP="00537E7A">
      <w:pPr>
        <w:jc w:val="both"/>
        <w:rPr>
          <w:rFonts w:cs="Arial"/>
          <w:sz w:val="24"/>
          <w:szCs w:val="24"/>
        </w:rPr>
      </w:pPr>
    </w:p>
    <w:p w14:paraId="71DC3D5D" w14:textId="77777777" w:rsidR="00C762C0" w:rsidRDefault="00C762C0" w:rsidP="00537E7A">
      <w:pPr>
        <w:jc w:val="both"/>
        <w:rPr>
          <w:rFonts w:cs="Arial"/>
          <w:sz w:val="24"/>
          <w:szCs w:val="24"/>
        </w:rPr>
      </w:pPr>
    </w:p>
    <w:p w14:paraId="74BDFB6A" w14:textId="77777777" w:rsidR="00C762C0" w:rsidRDefault="00C762C0" w:rsidP="00537E7A">
      <w:pPr>
        <w:jc w:val="both"/>
        <w:rPr>
          <w:rFonts w:cs="Arial"/>
          <w:sz w:val="24"/>
          <w:szCs w:val="24"/>
        </w:rPr>
      </w:pPr>
    </w:p>
    <w:p w14:paraId="6C74FE6A" w14:textId="77777777" w:rsidR="00C762C0" w:rsidRDefault="00C762C0" w:rsidP="00537E7A">
      <w:pPr>
        <w:jc w:val="both"/>
        <w:rPr>
          <w:rFonts w:cs="Arial"/>
          <w:sz w:val="24"/>
          <w:szCs w:val="24"/>
        </w:rPr>
      </w:pPr>
    </w:p>
    <w:p w14:paraId="44C7E024" w14:textId="77777777" w:rsidR="00C762C0" w:rsidRDefault="00C762C0" w:rsidP="00537E7A">
      <w:pPr>
        <w:jc w:val="both"/>
        <w:rPr>
          <w:rFonts w:cs="Arial"/>
          <w:sz w:val="24"/>
          <w:szCs w:val="24"/>
        </w:rPr>
      </w:pPr>
    </w:p>
    <w:p w14:paraId="24ACDD54" w14:textId="77777777" w:rsidR="00B55944" w:rsidRDefault="00B55944" w:rsidP="00537E7A">
      <w:pPr>
        <w:jc w:val="both"/>
        <w:rPr>
          <w:rFonts w:cs="Arial"/>
          <w:sz w:val="24"/>
          <w:szCs w:val="24"/>
        </w:rPr>
      </w:pPr>
    </w:p>
    <w:p w14:paraId="027407F1" w14:textId="77777777" w:rsidR="00B55944" w:rsidRDefault="00B55944" w:rsidP="00537E7A">
      <w:pPr>
        <w:jc w:val="both"/>
        <w:rPr>
          <w:rFonts w:cs="Arial"/>
          <w:sz w:val="24"/>
          <w:szCs w:val="24"/>
        </w:rPr>
      </w:pPr>
    </w:p>
    <w:p w14:paraId="081D40DA" w14:textId="77777777" w:rsidR="00B55944" w:rsidRDefault="00B55944" w:rsidP="00537E7A">
      <w:pPr>
        <w:jc w:val="both"/>
        <w:rPr>
          <w:rFonts w:cs="Arial"/>
          <w:sz w:val="24"/>
          <w:szCs w:val="24"/>
        </w:rPr>
      </w:pPr>
    </w:p>
    <w:p w14:paraId="7006248C" w14:textId="77777777" w:rsidR="00B55944" w:rsidRDefault="00B55944" w:rsidP="00537E7A">
      <w:pPr>
        <w:jc w:val="both"/>
        <w:rPr>
          <w:rFonts w:cs="Arial"/>
          <w:sz w:val="24"/>
          <w:szCs w:val="24"/>
        </w:rPr>
      </w:pPr>
    </w:p>
    <w:p w14:paraId="5971BD2E" w14:textId="77777777" w:rsidR="00B55944" w:rsidRDefault="00B55944" w:rsidP="00537E7A">
      <w:pPr>
        <w:jc w:val="both"/>
        <w:rPr>
          <w:rFonts w:cs="Arial"/>
          <w:sz w:val="24"/>
          <w:szCs w:val="24"/>
        </w:rPr>
      </w:pPr>
    </w:p>
    <w:p w14:paraId="1904539C" w14:textId="77777777" w:rsidR="00B55944" w:rsidRDefault="00B55944" w:rsidP="00537E7A">
      <w:pPr>
        <w:jc w:val="both"/>
        <w:rPr>
          <w:rFonts w:cs="Arial"/>
          <w:sz w:val="24"/>
          <w:szCs w:val="24"/>
        </w:rPr>
      </w:pPr>
    </w:p>
    <w:p w14:paraId="57E60872" w14:textId="77777777" w:rsidR="00C762C0" w:rsidRPr="001533EE" w:rsidRDefault="00C762C0" w:rsidP="00537E7A">
      <w:pPr>
        <w:jc w:val="both"/>
        <w:rPr>
          <w:rFonts w:cs="Arial"/>
          <w:sz w:val="24"/>
          <w:szCs w:val="24"/>
        </w:rPr>
      </w:pPr>
    </w:p>
    <w:p w14:paraId="03A99CA4" w14:textId="77777777" w:rsidR="00537E7A" w:rsidRPr="001533EE" w:rsidRDefault="00537E7A" w:rsidP="00791189">
      <w:pPr>
        <w:ind w:left="567" w:hanging="567"/>
        <w:jc w:val="both"/>
        <w:rPr>
          <w:rFonts w:cs="Arial"/>
          <w:b/>
          <w:bCs/>
          <w:sz w:val="24"/>
          <w:szCs w:val="24"/>
        </w:rPr>
      </w:pPr>
      <w:r w:rsidRPr="001533EE">
        <w:rPr>
          <w:rFonts w:cs="Arial"/>
          <w:sz w:val="24"/>
          <w:szCs w:val="24"/>
        </w:rPr>
        <w:lastRenderedPageBreak/>
        <w:t>1.5</w:t>
      </w:r>
      <w:r w:rsidRPr="001533EE">
        <w:rPr>
          <w:rFonts w:cs="Arial"/>
          <w:sz w:val="24"/>
          <w:szCs w:val="24"/>
        </w:rPr>
        <w:tab/>
      </w:r>
      <w:r w:rsidRPr="001533EE">
        <w:rPr>
          <w:rFonts w:cs="Arial"/>
          <w:b/>
          <w:bCs/>
          <w:sz w:val="24"/>
          <w:szCs w:val="24"/>
        </w:rPr>
        <w:t>Affordability</w:t>
      </w:r>
    </w:p>
    <w:p w14:paraId="1CEB033E" w14:textId="77777777" w:rsidR="00DC07D8" w:rsidRPr="001533EE" w:rsidRDefault="00DC07D8" w:rsidP="00537E7A">
      <w:pPr>
        <w:jc w:val="both"/>
        <w:rPr>
          <w:rFonts w:cs="Arial"/>
          <w:sz w:val="24"/>
          <w:szCs w:val="24"/>
        </w:rPr>
      </w:pPr>
    </w:p>
    <w:p w14:paraId="7EE815D2" w14:textId="6BAB9E03" w:rsidR="00537E7A" w:rsidRPr="001533EE" w:rsidRDefault="00537E7A" w:rsidP="00791189">
      <w:pPr>
        <w:ind w:left="567"/>
        <w:jc w:val="both"/>
        <w:rPr>
          <w:rFonts w:cs="Arial"/>
          <w:sz w:val="24"/>
          <w:szCs w:val="24"/>
        </w:rPr>
      </w:pPr>
      <w:r w:rsidRPr="001533EE">
        <w:rPr>
          <w:rFonts w:cs="Arial"/>
          <w:sz w:val="24"/>
          <w:szCs w:val="24"/>
        </w:rPr>
        <w:t xml:space="preserve">The following indicators are required to assess the affordability of the capital investment plans.  They provide an indication of the impact of the capital investment plans on </w:t>
      </w:r>
      <w:r w:rsidRPr="009E13A7">
        <w:rPr>
          <w:rFonts w:cs="Arial"/>
          <w:sz w:val="24"/>
          <w:szCs w:val="24"/>
        </w:rPr>
        <w:t xml:space="preserve">overall </w:t>
      </w:r>
      <w:r w:rsidR="00C134E8">
        <w:rPr>
          <w:rFonts w:cs="Arial"/>
          <w:sz w:val="24"/>
          <w:szCs w:val="24"/>
        </w:rPr>
        <w:t>Fire</w:t>
      </w:r>
      <w:r w:rsidR="00AB6A78" w:rsidRPr="009E13A7">
        <w:rPr>
          <w:rFonts w:cs="Arial"/>
          <w:sz w:val="24"/>
          <w:szCs w:val="24"/>
        </w:rPr>
        <w:t xml:space="preserve"> </w:t>
      </w:r>
      <w:r w:rsidRPr="009E13A7">
        <w:rPr>
          <w:rFonts w:cs="Arial"/>
          <w:sz w:val="24"/>
          <w:szCs w:val="24"/>
        </w:rPr>
        <w:t xml:space="preserve">finances.  The </w:t>
      </w:r>
      <w:r w:rsidR="007C580A" w:rsidRPr="009E13A7">
        <w:rPr>
          <w:rFonts w:cs="Arial"/>
          <w:sz w:val="24"/>
          <w:szCs w:val="24"/>
        </w:rPr>
        <w:t>Mayor</w:t>
      </w:r>
      <w:r w:rsidR="00C134E8">
        <w:rPr>
          <w:rFonts w:cs="Arial"/>
          <w:sz w:val="24"/>
          <w:szCs w:val="24"/>
        </w:rPr>
        <w:t>/Deputy Mayor</w:t>
      </w:r>
      <w:r w:rsidR="00AB6A78" w:rsidRPr="009E13A7">
        <w:rPr>
          <w:rFonts w:cs="Arial"/>
          <w:sz w:val="24"/>
          <w:szCs w:val="24"/>
        </w:rPr>
        <w:t xml:space="preserve"> </w:t>
      </w:r>
      <w:r w:rsidRPr="009E13A7">
        <w:rPr>
          <w:rFonts w:cs="Arial"/>
          <w:sz w:val="24"/>
          <w:szCs w:val="24"/>
        </w:rPr>
        <w:t>is requested to</w:t>
      </w:r>
      <w:r w:rsidRPr="001533EE">
        <w:rPr>
          <w:rFonts w:cs="Arial"/>
          <w:sz w:val="24"/>
          <w:szCs w:val="24"/>
        </w:rPr>
        <w:t xml:space="preserve"> approve the following:</w:t>
      </w:r>
    </w:p>
    <w:p w14:paraId="4A5F43D7" w14:textId="43BA748F" w:rsidR="008A5426" w:rsidRDefault="008A5426" w:rsidP="00537E7A">
      <w:pPr>
        <w:ind w:left="567"/>
        <w:jc w:val="both"/>
        <w:rPr>
          <w:rFonts w:cs="Arial"/>
          <w:sz w:val="24"/>
          <w:szCs w:val="24"/>
        </w:rPr>
      </w:pPr>
    </w:p>
    <w:p w14:paraId="1B7B9C99" w14:textId="12328C2F" w:rsidR="008A5426" w:rsidRPr="001533EE" w:rsidRDefault="008A5426" w:rsidP="006A2F03">
      <w:pPr>
        <w:numPr>
          <w:ilvl w:val="0"/>
          <w:numId w:val="30"/>
        </w:numPr>
        <w:overflowPunct w:val="0"/>
        <w:autoSpaceDE w:val="0"/>
        <w:autoSpaceDN w:val="0"/>
        <w:adjustRightInd w:val="0"/>
        <w:ind w:left="567" w:hanging="567"/>
        <w:jc w:val="both"/>
        <w:rPr>
          <w:rFonts w:cs="Arial"/>
          <w:b/>
          <w:bCs/>
          <w:sz w:val="24"/>
          <w:szCs w:val="24"/>
        </w:rPr>
      </w:pPr>
      <w:r w:rsidRPr="001533EE">
        <w:rPr>
          <w:rFonts w:cs="Arial"/>
          <w:b/>
          <w:bCs/>
          <w:sz w:val="24"/>
          <w:szCs w:val="24"/>
        </w:rPr>
        <w:t>Estimates of capital expenditure</w:t>
      </w:r>
    </w:p>
    <w:p w14:paraId="70334F3A" w14:textId="3DED9D5C" w:rsidR="008A5426" w:rsidRPr="001533EE" w:rsidRDefault="008A5426" w:rsidP="00791189">
      <w:pPr>
        <w:overflowPunct w:val="0"/>
        <w:autoSpaceDE w:val="0"/>
        <w:autoSpaceDN w:val="0"/>
        <w:adjustRightInd w:val="0"/>
        <w:ind w:left="567"/>
        <w:jc w:val="both"/>
        <w:rPr>
          <w:rFonts w:cs="Arial"/>
          <w:sz w:val="24"/>
          <w:szCs w:val="24"/>
        </w:rPr>
      </w:pPr>
      <w:r w:rsidRPr="001533EE">
        <w:rPr>
          <w:rFonts w:cs="Arial"/>
          <w:sz w:val="24"/>
          <w:szCs w:val="24"/>
        </w:rPr>
        <w:t>This is a prudential indicator for prudence showing the previous year actual and estimates of the total of capital expenditure planned to be incurred during the forthcoming financial year and the following two financial years.</w:t>
      </w:r>
    </w:p>
    <w:p w14:paraId="5FBAB075" w14:textId="181050C6" w:rsidR="009506E2" w:rsidRPr="001533EE" w:rsidRDefault="009506E2" w:rsidP="00791189">
      <w:pPr>
        <w:overflowPunct w:val="0"/>
        <w:autoSpaceDE w:val="0"/>
        <w:autoSpaceDN w:val="0"/>
        <w:adjustRightInd w:val="0"/>
        <w:ind w:left="567"/>
        <w:jc w:val="both"/>
        <w:rPr>
          <w:rFonts w:cs="Arial"/>
          <w:sz w:val="24"/>
          <w:szCs w:val="24"/>
        </w:rPr>
      </w:pPr>
    </w:p>
    <w:p w14:paraId="19601932" w14:textId="4A6B3962" w:rsidR="003B529F" w:rsidRDefault="00C762C0" w:rsidP="00A953CC">
      <w:pPr>
        <w:overflowPunct w:val="0"/>
        <w:autoSpaceDE w:val="0"/>
        <w:autoSpaceDN w:val="0"/>
        <w:adjustRightInd w:val="0"/>
        <w:ind w:left="709" w:hanging="142"/>
        <w:jc w:val="both"/>
        <w:rPr>
          <w:rFonts w:cs="Arial"/>
          <w:sz w:val="24"/>
          <w:szCs w:val="24"/>
        </w:rPr>
      </w:pPr>
      <w:r w:rsidRPr="00C762C0">
        <w:rPr>
          <w:noProof/>
        </w:rPr>
        <w:drawing>
          <wp:inline distT="0" distB="0" distL="0" distR="0" wp14:anchorId="5DC79B60" wp14:editId="246A3263">
            <wp:extent cx="5759450" cy="1748790"/>
            <wp:effectExtent l="0" t="0" r="0" b="3810"/>
            <wp:docPr id="108605853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59450" cy="1748790"/>
                    </a:xfrm>
                    <a:prstGeom prst="rect">
                      <a:avLst/>
                    </a:prstGeom>
                    <a:noFill/>
                    <a:ln>
                      <a:noFill/>
                    </a:ln>
                  </pic:spPr>
                </pic:pic>
              </a:graphicData>
            </a:graphic>
          </wp:inline>
        </w:drawing>
      </w:r>
    </w:p>
    <w:p w14:paraId="70A75F18" w14:textId="77777777" w:rsidR="00593D0F" w:rsidRPr="001533EE" w:rsidRDefault="00593D0F" w:rsidP="00405D6E">
      <w:pPr>
        <w:overflowPunct w:val="0"/>
        <w:autoSpaceDE w:val="0"/>
        <w:autoSpaceDN w:val="0"/>
        <w:adjustRightInd w:val="0"/>
        <w:ind w:left="567"/>
        <w:jc w:val="both"/>
        <w:rPr>
          <w:rFonts w:cs="Arial"/>
          <w:sz w:val="24"/>
          <w:szCs w:val="24"/>
        </w:rPr>
      </w:pPr>
    </w:p>
    <w:p w14:paraId="0DCE05D6" w14:textId="1D3662E4" w:rsidR="009E6AC8" w:rsidRPr="00593D0F" w:rsidRDefault="00697EDD" w:rsidP="001F1C71">
      <w:pPr>
        <w:pStyle w:val="subhead"/>
        <w:tabs>
          <w:tab w:val="left" w:pos="567"/>
        </w:tabs>
        <w:rPr>
          <w:bCs/>
          <w:noProof w:val="0"/>
          <w:sz w:val="24"/>
          <w:szCs w:val="24"/>
          <w:lang w:eastAsia="en-GB"/>
        </w:rPr>
      </w:pPr>
      <w:bookmarkStart w:id="10" w:name="_Toc465068556"/>
      <w:bookmarkStart w:id="11" w:name="_Toc465069756"/>
      <w:bookmarkStart w:id="12" w:name="_Toc465069889"/>
      <w:bookmarkStart w:id="13" w:name="_Toc465071314"/>
      <w:bookmarkStart w:id="14" w:name="_Toc465081938"/>
      <w:bookmarkStart w:id="15" w:name="_Toc465082056"/>
      <w:bookmarkStart w:id="16" w:name="_Toc465082757"/>
      <w:bookmarkStart w:id="17" w:name="_Toc465082896"/>
      <w:bookmarkStart w:id="18" w:name="_Toc465082971"/>
      <w:bookmarkStart w:id="19" w:name="_Toc465083925"/>
      <w:bookmarkStart w:id="20" w:name="_Toc465084169"/>
      <w:bookmarkStart w:id="21" w:name="_Toc465084213"/>
      <w:bookmarkStart w:id="22" w:name="_Toc465084335"/>
      <w:bookmarkStart w:id="23" w:name="_Toc528570131"/>
      <w:bookmarkStart w:id="24" w:name="_Toc22031544"/>
      <w:bookmarkStart w:id="25" w:name="_Toc83300468"/>
      <w:bookmarkStart w:id="26" w:name="_Toc122624411"/>
      <w:bookmarkStart w:id="27" w:name="_Toc122694039"/>
      <w:bookmarkStart w:id="28" w:name="_Hlk106964755"/>
      <w:r w:rsidRPr="00697EDD">
        <w:rPr>
          <w:b w:val="0"/>
          <w:noProof w:val="0"/>
          <w:sz w:val="24"/>
          <w:szCs w:val="24"/>
          <w:lang w:eastAsia="en-GB"/>
        </w:rPr>
        <w:t>(ii)</w:t>
      </w:r>
      <w:r w:rsidR="001F1C71">
        <w:rPr>
          <w:bCs/>
          <w:noProof w:val="0"/>
          <w:sz w:val="24"/>
          <w:szCs w:val="24"/>
          <w:lang w:eastAsia="en-GB"/>
        </w:rPr>
        <w:tab/>
      </w:r>
      <w:r w:rsidR="009E6AC8" w:rsidRPr="001533EE">
        <w:rPr>
          <w:bCs/>
          <w:noProof w:val="0"/>
          <w:sz w:val="24"/>
          <w:szCs w:val="24"/>
          <w:lang w:eastAsia="en-GB"/>
        </w:rPr>
        <w:t>Ratio of fi</w:t>
      </w:r>
      <w:r w:rsidR="009E6AC8" w:rsidRPr="00593D0F">
        <w:rPr>
          <w:bCs/>
          <w:noProof w:val="0"/>
          <w:sz w:val="24"/>
          <w:szCs w:val="24"/>
          <w:lang w:eastAsia="en-GB"/>
        </w:rPr>
        <w:t>nancing costs to net revenue stream</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3B13A08B" w14:textId="32D7E87E" w:rsidR="009E6AC8" w:rsidRPr="001533EE" w:rsidRDefault="009E6AC8" w:rsidP="00405D6E">
      <w:pPr>
        <w:ind w:left="567"/>
        <w:jc w:val="both"/>
        <w:rPr>
          <w:rFonts w:cs="Arial"/>
          <w:sz w:val="24"/>
          <w:szCs w:val="24"/>
        </w:rPr>
      </w:pPr>
      <w:r w:rsidRPr="001533EE">
        <w:rPr>
          <w:rFonts w:cs="Arial"/>
          <w:sz w:val="24"/>
          <w:szCs w:val="24"/>
        </w:rPr>
        <w:t xml:space="preserve">This </w:t>
      </w:r>
      <w:r w:rsidR="00593D0F">
        <w:rPr>
          <w:rFonts w:cs="Arial"/>
          <w:sz w:val="24"/>
          <w:szCs w:val="24"/>
        </w:rPr>
        <w:t xml:space="preserve">local </w:t>
      </w:r>
      <w:r w:rsidRPr="001533EE">
        <w:rPr>
          <w:rFonts w:cs="Arial"/>
          <w:sz w:val="24"/>
          <w:szCs w:val="24"/>
        </w:rPr>
        <w:t>indicator highlights the revenue implications of existing and proposed capital expenditure by identifying the proportion of the revenue budget required to meet borrowing costs (including other long-term obligation costs net of investment income).</w:t>
      </w:r>
    </w:p>
    <w:p w14:paraId="48F4B60B" w14:textId="45DB7458" w:rsidR="009E6AC8" w:rsidRPr="001533EE" w:rsidRDefault="009E6AC8" w:rsidP="009E6AC8">
      <w:pPr>
        <w:ind w:left="709"/>
        <w:jc w:val="both"/>
        <w:rPr>
          <w:rFonts w:cs="Arial"/>
          <w:sz w:val="24"/>
          <w:szCs w:val="24"/>
        </w:rPr>
      </w:pPr>
    </w:p>
    <w:p w14:paraId="0B9D8201" w14:textId="1710EB49" w:rsidR="009E6AC8" w:rsidRPr="001533EE" w:rsidRDefault="00273A09" w:rsidP="002403B5">
      <w:pPr>
        <w:ind w:left="567"/>
        <w:jc w:val="both"/>
        <w:rPr>
          <w:rFonts w:cs="Arial"/>
          <w:sz w:val="24"/>
          <w:szCs w:val="24"/>
        </w:rPr>
      </w:pPr>
      <w:r w:rsidRPr="00273A09">
        <w:rPr>
          <w:noProof/>
        </w:rPr>
        <w:drawing>
          <wp:inline distT="0" distB="0" distL="0" distR="0" wp14:anchorId="21857E78" wp14:editId="6A4FA397">
            <wp:extent cx="5702300" cy="3297555"/>
            <wp:effectExtent l="0" t="0" r="0" b="0"/>
            <wp:docPr id="15506361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02300" cy="3297555"/>
                    </a:xfrm>
                    <a:prstGeom prst="rect">
                      <a:avLst/>
                    </a:prstGeom>
                    <a:noFill/>
                    <a:ln>
                      <a:noFill/>
                    </a:ln>
                  </pic:spPr>
                </pic:pic>
              </a:graphicData>
            </a:graphic>
          </wp:inline>
        </w:drawing>
      </w:r>
    </w:p>
    <w:p w14:paraId="0118AAFB" w14:textId="2D231AEA" w:rsidR="00805498" w:rsidRPr="001533EE" w:rsidRDefault="00805498" w:rsidP="00805498">
      <w:pPr>
        <w:ind w:left="709"/>
        <w:jc w:val="both"/>
        <w:rPr>
          <w:rFonts w:cs="Arial"/>
          <w:sz w:val="24"/>
          <w:szCs w:val="24"/>
        </w:rPr>
      </w:pPr>
    </w:p>
    <w:p w14:paraId="36CC5AAD" w14:textId="77777777" w:rsidR="002403B5" w:rsidRDefault="002403B5" w:rsidP="00805498">
      <w:pPr>
        <w:ind w:left="709"/>
        <w:jc w:val="both"/>
        <w:rPr>
          <w:rFonts w:cs="Arial"/>
          <w:sz w:val="24"/>
          <w:szCs w:val="24"/>
        </w:rPr>
      </w:pPr>
    </w:p>
    <w:p w14:paraId="6985AE91" w14:textId="77777777" w:rsidR="00C134E8" w:rsidRDefault="00C134E8" w:rsidP="00805498">
      <w:pPr>
        <w:ind w:left="709"/>
        <w:jc w:val="both"/>
        <w:rPr>
          <w:rFonts w:cs="Arial"/>
          <w:sz w:val="24"/>
          <w:szCs w:val="24"/>
        </w:rPr>
      </w:pPr>
    </w:p>
    <w:p w14:paraId="2E564F1A" w14:textId="77777777" w:rsidR="00336C48" w:rsidRDefault="00336C48" w:rsidP="00805498">
      <w:pPr>
        <w:ind w:left="709"/>
        <w:jc w:val="both"/>
        <w:rPr>
          <w:rFonts w:cs="Arial"/>
          <w:sz w:val="24"/>
          <w:szCs w:val="24"/>
        </w:rPr>
      </w:pPr>
    </w:p>
    <w:p w14:paraId="215EE13D" w14:textId="77777777" w:rsidR="00C134E8" w:rsidRPr="001533EE" w:rsidRDefault="00C134E8" w:rsidP="00602652">
      <w:pPr>
        <w:jc w:val="both"/>
        <w:rPr>
          <w:rFonts w:cs="Arial"/>
          <w:sz w:val="24"/>
          <w:szCs w:val="24"/>
        </w:rPr>
      </w:pPr>
    </w:p>
    <w:p w14:paraId="20B6683E" w14:textId="3776C28C" w:rsidR="008A5426" w:rsidRPr="008C59F0" w:rsidRDefault="008C59F0" w:rsidP="008C59F0">
      <w:pPr>
        <w:overflowPunct w:val="0"/>
        <w:autoSpaceDE w:val="0"/>
        <w:autoSpaceDN w:val="0"/>
        <w:adjustRightInd w:val="0"/>
        <w:rPr>
          <w:rFonts w:cs="Arial"/>
          <w:b/>
          <w:bCs/>
          <w:sz w:val="24"/>
          <w:szCs w:val="24"/>
        </w:rPr>
      </w:pPr>
      <w:r w:rsidRPr="008C59F0">
        <w:rPr>
          <w:rFonts w:cs="Arial"/>
          <w:sz w:val="24"/>
          <w:szCs w:val="24"/>
        </w:rPr>
        <w:t>(iii)</w:t>
      </w:r>
      <w:r>
        <w:rPr>
          <w:rFonts w:cs="Arial"/>
          <w:b/>
          <w:bCs/>
          <w:sz w:val="24"/>
          <w:szCs w:val="24"/>
        </w:rPr>
        <w:t xml:space="preserve">    </w:t>
      </w:r>
      <w:r w:rsidR="008A5426" w:rsidRPr="008C59F0">
        <w:rPr>
          <w:rFonts w:cs="Arial"/>
          <w:b/>
          <w:bCs/>
          <w:sz w:val="24"/>
          <w:szCs w:val="24"/>
        </w:rPr>
        <w:t>Estimates of capital financing requirement (CFR)</w:t>
      </w:r>
    </w:p>
    <w:p w14:paraId="78FFB859" w14:textId="77777777" w:rsidR="003B529F" w:rsidRPr="001533EE" w:rsidRDefault="003B529F" w:rsidP="003B529F">
      <w:pPr>
        <w:overflowPunct w:val="0"/>
        <w:autoSpaceDE w:val="0"/>
        <w:autoSpaceDN w:val="0"/>
        <w:adjustRightInd w:val="0"/>
        <w:ind w:left="720"/>
        <w:jc w:val="both"/>
        <w:rPr>
          <w:rFonts w:cs="Arial"/>
          <w:b/>
          <w:bCs/>
          <w:sz w:val="24"/>
          <w:szCs w:val="24"/>
        </w:rPr>
      </w:pPr>
    </w:p>
    <w:p w14:paraId="10C9CAB9" w14:textId="77777777" w:rsidR="008A5426" w:rsidRPr="001533EE" w:rsidRDefault="008A5426" w:rsidP="007F22DA">
      <w:pPr>
        <w:overflowPunct w:val="0"/>
        <w:autoSpaceDE w:val="0"/>
        <w:autoSpaceDN w:val="0"/>
        <w:adjustRightInd w:val="0"/>
        <w:ind w:left="567"/>
        <w:jc w:val="both"/>
        <w:rPr>
          <w:rFonts w:cs="Arial"/>
          <w:sz w:val="24"/>
          <w:szCs w:val="24"/>
        </w:rPr>
      </w:pPr>
      <w:r w:rsidRPr="001533EE">
        <w:rPr>
          <w:rFonts w:cs="Arial"/>
          <w:sz w:val="24"/>
          <w:szCs w:val="24"/>
        </w:rPr>
        <w:t>This is a prudential indicator for prudence and shows the previous year actual and the forecast total capital financing requirement at the end of the forthcoming financial year and the following two years.  The CFR is the amount of capital spending that has not yet been financed by capital receipts, capital grants or contributions from revenue income. It measures the underlying need to borrow for a capital purpose.</w:t>
      </w:r>
    </w:p>
    <w:p w14:paraId="7A17B41D" w14:textId="77777777" w:rsidR="005567D1" w:rsidRPr="001533EE" w:rsidRDefault="005567D1" w:rsidP="008A5426">
      <w:pPr>
        <w:jc w:val="both"/>
        <w:rPr>
          <w:rFonts w:cs="Arial"/>
          <w:sz w:val="24"/>
          <w:szCs w:val="24"/>
        </w:rPr>
      </w:pPr>
    </w:p>
    <w:p w14:paraId="2B48B8F2" w14:textId="4C4BED3C" w:rsidR="00595831" w:rsidRPr="001533EE" w:rsidRDefault="005567D1" w:rsidP="007F22DA">
      <w:pPr>
        <w:ind w:left="567"/>
        <w:jc w:val="both"/>
        <w:rPr>
          <w:rFonts w:cs="Arial"/>
          <w:sz w:val="24"/>
          <w:szCs w:val="24"/>
        </w:rPr>
      </w:pPr>
      <w:r w:rsidRPr="001533EE">
        <w:rPr>
          <w:rFonts w:cs="Arial"/>
          <w:sz w:val="24"/>
          <w:szCs w:val="24"/>
        </w:rPr>
        <w:t xml:space="preserve">It </w:t>
      </w:r>
      <w:r w:rsidR="00DC07D8" w:rsidRPr="001533EE">
        <w:rPr>
          <w:rFonts w:cs="Arial"/>
          <w:sz w:val="24"/>
          <w:szCs w:val="24"/>
        </w:rPr>
        <w:t xml:space="preserve">measures </w:t>
      </w:r>
      <w:r w:rsidR="00DC07D8" w:rsidRPr="00115282">
        <w:rPr>
          <w:rFonts w:cs="Arial"/>
          <w:sz w:val="24"/>
          <w:szCs w:val="24"/>
        </w:rPr>
        <w:t>the</w:t>
      </w:r>
      <w:r w:rsidR="00593D0F" w:rsidRPr="00115282">
        <w:rPr>
          <w:rFonts w:cs="Arial"/>
          <w:sz w:val="24"/>
          <w:szCs w:val="24"/>
        </w:rPr>
        <w:t xml:space="preserve"> </w:t>
      </w:r>
      <w:proofErr w:type="gramStart"/>
      <w:r w:rsidR="007C580A" w:rsidRPr="00115282">
        <w:rPr>
          <w:rFonts w:cs="Arial"/>
          <w:sz w:val="24"/>
          <w:szCs w:val="24"/>
        </w:rPr>
        <w:t>Mayor</w:t>
      </w:r>
      <w:r w:rsidR="00DC07D8" w:rsidRPr="00115282">
        <w:rPr>
          <w:rFonts w:cs="Arial"/>
          <w:sz w:val="24"/>
          <w:szCs w:val="24"/>
        </w:rPr>
        <w:t>’s</w:t>
      </w:r>
      <w:proofErr w:type="gramEnd"/>
      <w:r w:rsidR="00DC07D8" w:rsidRPr="00115282">
        <w:rPr>
          <w:rFonts w:cs="Arial"/>
          <w:sz w:val="24"/>
          <w:szCs w:val="24"/>
        </w:rPr>
        <w:t xml:space="preserve"> underlying</w:t>
      </w:r>
      <w:r w:rsidR="00DC07D8" w:rsidRPr="001533EE">
        <w:rPr>
          <w:rFonts w:cs="Arial"/>
          <w:sz w:val="24"/>
          <w:szCs w:val="24"/>
        </w:rPr>
        <w:t xml:space="preserve"> need to borrow for capital purposes and ensures that borrowing is only undertaken to fund capital assets and not support revenue expenditure</w:t>
      </w:r>
      <w:r w:rsidR="00595831" w:rsidRPr="001533EE">
        <w:rPr>
          <w:rFonts w:cs="Arial"/>
          <w:sz w:val="24"/>
          <w:szCs w:val="24"/>
        </w:rPr>
        <w:t>.</w:t>
      </w:r>
    </w:p>
    <w:p w14:paraId="14B7F9C6" w14:textId="77777777" w:rsidR="00593D0F" w:rsidRDefault="00593D0F" w:rsidP="0063170D">
      <w:pPr>
        <w:jc w:val="both"/>
        <w:rPr>
          <w:rFonts w:cs="Arial"/>
          <w:sz w:val="24"/>
          <w:szCs w:val="24"/>
        </w:rPr>
      </w:pPr>
    </w:p>
    <w:p w14:paraId="06FA96CA" w14:textId="789D0E7F" w:rsidR="00E23C28" w:rsidRPr="001533EE" w:rsidRDefault="00595831" w:rsidP="00805498">
      <w:pPr>
        <w:ind w:left="567" w:firstLine="3"/>
        <w:jc w:val="both"/>
        <w:rPr>
          <w:rFonts w:cs="Arial"/>
          <w:sz w:val="24"/>
          <w:szCs w:val="24"/>
        </w:rPr>
      </w:pPr>
      <w:r w:rsidRPr="00115282">
        <w:rPr>
          <w:rFonts w:cs="Arial"/>
          <w:sz w:val="24"/>
          <w:szCs w:val="24"/>
        </w:rPr>
        <w:t xml:space="preserve">The </w:t>
      </w:r>
      <w:proofErr w:type="gramStart"/>
      <w:r w:rsidR="007C580A" w:rsidRPr="00115282">
        <w:rPr>
          <w:rFonts w:cs="Arial"/>
          <w:sz w:val="24"/>
          <w:szCs w:val="24"/>
        </w:rPr>
        <w:t>Mayor</w:t>
      </w:r>
      <w:proofErr w:type="gramEnd"/>
      <w:r w:rsidR="00593D0F" w:rsidRPr="00115282">
        <w:rPr>
          <w:rFonts w:cs="Arial"/>
          <w:sz w:val="24"/>
          <w:szCs w:val="24"/>
        </w:rPr>
        <w:t xml:space="preserve"> </w:t>
      </w:r>
      <w:r w:rsidRPr="00115282">
        <w:rPr>
          <w:rFonts w:cs="Arial"/>
          <w:sz w:val="24"/>
          <w:szCs w:val="24"/>
        </w:rPr>
        <w:t>is required to make a statutory charge to revenue for the repayment of supported debt (the Minimum</w:t>
      </w:r>
      <w:r w:rsidRPr="001533EE">
        <w:rPr>
          <w:rFonts w:cs="Arial"/>
          <w:sz w:val="24"/>
          <w:szCs w:val="24"/>
        </w:rPr>
        <w:t xml:space="preserve"> </w:t>
      </w:r>
      <w:r w:rsidR="00AC56C7" w:rsidRPr="001533EE">
        <w:rPr>
          <w:rFonts w:cs="Arial"/>
          <w:sz w:val="24"/>
          <w:szCs w:val="24"/>
        </w:rPr>
        <w:t>R</w:t>
      </w:r>
      <w:r w:rsidRPr="001533EE">
        <w:rPr>
          <w:rFonts w:cs="Arial"/>
          <w:sz w:val="24"/>
          <w:szCs w:val="24"/>
        </w:rPr>
        <w:t>evenue Provision) and this reduce</w:t>
      </w:r>
      <w:r w:rsidR="00F22DED" w:rsidRPr="001533EE">
        <w:rPr>
          <w:rFonts w:cs="Arial"/>
          <w:sz w:val="24"/>
          <w:szCs w:val="24"/>
        </w:rPr>
        <w:t>s</w:t>
      </w:r>
      <w:r w:rsidRPr="001533EE">
        <w:rPr>
          <w:rFonts w:cs="Arial"/>
          <w:sz w:val="24"/>
          <w:szCs w:val="24"/>
        </w:rPr>
        <w:t xml:space="preserve"> the CFR</w:t>
      </w:r>
      <w:r w:rsidR="005567D1" w:rsidRPr="001533EE">
        <w:rPr>
          <w:rFonts w:cs="Arial"/>
          <w:sz w:val="24"/>
          <w:szCs w:val="24"/>
        </w:rPr>
        <w:t>.</w:t>
      </w:r>
    </w:p>
    <w:p w14:paraId="5CE4334C" w14:textId="77777777" w:rsidR="003244CF" w:rsidRDefault="003244CF" w:rsidP="00805498">
      <w:pPr>
        <w:ind w:left="567" w:firstLine="3"/>
        <w:jc w:val="both"/>
        <w:rPr>
          <w:rFonts w:cs="Arial"/>
          <w:sz w:val="24"/>
          <w:szCs w:val="24"/>
        </w:rPr>
      </w:pPr>
    </w:p>
    <w:p w14:paraId="69DDB466" w14:textId="568647B7" w:rsidR="00593D0F" w:rsidRDefault="00CF3600" w:rsidP="00805498">
      <w:pPr>
        <w:ind w:left="567" w:firstLine="3"/>
        <w:jc w:val="both"/>
        <w:rPr>
          <w:rFonts w:cs="Arial"/>
          <w:sz w:val="24"/>
          <w:szCs w:val="24"/>
        </w:rPr>
      </w:pPr>
      <w:r w:rsidRPr="00CF3600">
        <w:rPr>
          <w:noProof/>
        </w:rPr>
        <w:drawing>
          <wp:inline distT="0" distB="0" distL="0" distR="0" wp14:anchorId="0FAEAC6C" wp14:editId="5B0EEBCA">
            <wp:extent cx="5784850" cy="1942465"/>
            <wp:effectExtent l="0" t="0" r="6350" b="635"/>
            <wp:docPr id="5283436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84850" cy="1942465"/>
                    </a:xfrm>
                    <a:prstGeom prst="rect">
                      <a:avLst/>
                    </a:prstGeom>
                    <a:noFill/>
                    <a:ln>
                      <a:noFill/>
                    </a:ln>
                  </pic:spPr>
                </pic:pic>
              </a:graphicData>
            </a:graphic>
          </wp:inline>
        </w:drawing>
      </w:r>
    </w:p>
    <w:p w14:paraId="2BB936F4" w14:textId="77777777" w:rsidR="00295357" w:rsidRDefault="00295357" w:rsidP="00805498">
      <w:pPr>
        <w:ind w:left="567" w:firstLine="3"/>
        <w:jc w:val="both"/>
        <w:rPr>
          <w:rFonts w:cs="Arial"/>
          <w:sz w:val="24"/>
          <w:szCs w:val="24"/>
        </w:rPr>
      </w:pPr>
    </w:p>
    <w:p w14:paraId="2E10F782" w14:textId="77777777" w:rsidR="00503937" w:rsidRPr="001533EE" w:rsidRDefault="00503937" w:rsidP="00805498">
      <w:pPr>
        <w:ind w:left="567" w:firstLine="3"/>
        <w:jc w:val="both"/>
        <w:rPr>
          <w:rFonts w:cs="Arial"/>
          <w:sz w:val="24"/>
          <w:szCs w:val="24"/>
        </w:rPr>
      </w:pPr>
    </w:p>
    <w:p w14:paraId="56776A0B" w14:textId="73E8EF09" w:rsidR="00E23C28" w:rsidRPr="001533EE" w:rsidRDefault="005567D1" w:rsidP="00E23C28">
      <w:pPr>
        <w:rPr>
          <w:rFonts w:cs="Arial"/>
          <w:b/>
          <w:bCs/>
          <w:sz w:val="24"/>
          <w:szCs w:val="24"/>
        </w:rPr>
      </w:pPr>
      <w:r w:rsidRPr="003A1E63">
        <w:rPr>
          <w:rFonts w:cs="Arial"/>
          <w:sz w:val="24"/>
          <w:szCs w:val="24"/>
        </w:rPr>
        <w:t>(i</w:t>
      </w:r>
      <w:r w:rsidR="001F1C71" w:rsidRPr="003A1E63">
        <w:rPr>
          <w:rFonts w:cs="Arial"/>
          <w:sz w:val="24"/>
          <w:szCs w:val="24"/>
        </w:rPr>
        <w:t>v</w:t>
      </w:r>
      <w:r w:rsidRPr="003A1E63">
        <w:rPr>
          <w:rFonts w:cs="Arial"/>
          <w:sz w:val="24"/>
          <w:szCs w:val="24"/>
        </w:rPr>
        <w:t>)</w:t>
      </w:r>
      <w:r w:rsidRPr="003A1E63">
        <w:rPr>
          <w:rFonts w:cs="Arial"/>
          <w:sz w:val="24"/>
          <w:szCs w:val="24"/>
        </w:rPr>
        <w:tab/>
      </w:r>
      <w:r w:rsidRPr="003A1E63">
        <w:rPr>
          <w:rFonts w:cs="Arial"/>
          <w:b/>
          <w:bCs/>
          <w:sz w:val="24"/>
          <w:szCs w:val="24"/>
        </w:rPr>
        <w:t>Limits to Borrowing Activity</w:t>
      </w:r>
    </w:p>
    <w:p w14:paraId="3E2C1DB5" w14:textId="77777777" w:rsidR="0012769E" w:rsidRPr="001533EE" w:rsidRDefault="0012769E" w:rsidP="00E23C28">
      <w:pPr>
        <w:rPr>
          <w:rFonts w:cs="Arial"/>
          <w:sz w:val="24"/>
          <w:szCs w:val="24"/>
        </w:rPr>
      </w:pPr>
    </w:p>
    <w:p w14:paraId="3D7C904E" w14:textId="4DA73764" w:rsidR="0012769E" w:rsidRPr="00B65A83" w:rsidRDefault="0012769E" w:rsidP="0012769E">
      <w:pPr>
        <w:ind w:left="567" w:firstLine="3"/>
        <w:jc w:val="both"/>
        <w:rPr>
          <w:rFonts w:cs="Arial"/>
          <w:sz w:val="24"/>
          <w:szCs w:val="24"/>
        </w:rPr>
      </w:pPr>
      <w:r w:rsidRPr="001533EE">
        <w:rPr>
          <w:rFonts w:cs="Arial"/>
          <w:sz w:val="24"/>
          <w:szCs w:val="24"/>
        </w:rPr>
        <w:t xml:space="preserve">Within the Prudential Indicators there are </w:t>
      </w:r>
      <w:r w:rsidR="00944B99" w:rsidRPr="001533EE">
        <w:rPr>
          <w:rFonts w:cs="Arial"/>
          <w:sz w:val="24"/>
          <w:szCs w:val="24"/>
        </w:rPr>
        <w:t>several</w:t>
      </w:r>
      <w:r w:rsidRPr="001533EE">
        <w:rPr>
          <w:rFonts w:cs="Arial"/>
          <w:sz w:val="24"/>
          <w:szCs w:val="24"/>
        </w:rPr>
        <w:t xml:space="preserve"> indicators to ensur</w:t>
      </w:r>
      <w:r w:rsidRPr="00115282">
        <w:rPr>
          <w:rFonts w:cs="Arial"/>
          <w:sz w:val="24"/>
          <w:szCs w:val="24"/>
        </w:rPr>
        <w:t xml:space="preserve">e that the </w:t>
      </w:r>
      <w:proofErr w:type="gramStart"/>
      <w:r w:rsidR="007C580A" w:rsidRPr="00115282">
        <w:rPr>
          <w:rFonts w:cs="Arial"/>
          <w:sz w:val="24"/>
          <w:szCs w:val="24"/>
        </w:rPr>
        <w:t>Mayor</w:t>
      </w:r>
      <w:proofErr w:type="gramEnd"/>
      <w:r w:rsidR="00593D0F" w:rsidRPr="00115282">
        <w:rPr>
          <w:rFonts w:cs="Arial"/>
          <w:sz w:val="24"/>
          <w:szCs w:val="24"/>
        </w:rPr>
        <w:t xml:space="preserve"> </w:t>
      </w:r>
      <w:r w:rsidRPr="00B65A83">
        <w:rPr>
          <w:rFonts w:cs="Arial"/>
          <w:sz w:val="24"/>
          <w:szCs w:val="24"/>
        </w:rPr>
        <w:t xml:space="preserve">operates its activities within </w:t>
      </w:r>
      <w:r w:rsidR="00C877F2" w:rsidRPr="00B65A83">
        <w:rPr>
          <w:rFonts w:cs="Arial"/>
          <w:sz w:val="24"/>
          <w:szCs w:val="24"/>
        </w:rPr>
        <w:t>well-defined</w:t>
      </w:r>
      <w:r w:rsidRPr="00B65A83">
        <w:rPr>
          <w:rFonts w:cs="Arial"/>
          <w:sz w:val="24"/>
          <w:szCs w:val="24"/>
        </w:rPr>
        <w:t xml:space="preserve"> limits.</w:t>
      </w:r>
    </w:p>
    <w:p w14:paraId="6EB8DB39" w14:textId="77777777" w:rsidR="0012769E" w:rsidRPr="00B65A83" w:rsidRDefault="0012769E" w:rsidP="0012769E">
      <w:pPr>
        <w:ind w:left="567" w:firstLine="3"/>
        <w:jc w:val="both"/>
        <w:rPr>
          <w:rFonts w:cs="Arial"/>
          <w:sz w:val="24"/>
          <w:szCs w:val="24"/>
        </w:rPr>
      </w:pPr>
    </w:p>
    <w:p w14:paraId="44BF0035" w14:textId="0450A0F6" w:rsidR="00E23C28" w:rsidRPr="001533EE" w:rsidRDefault="0012769E" w:rsidP="0012769E">
      <w:pPr>
        <w:ind w:left="567" w:firstLine="3"/>
        <w:jc w:val="both"/>
        <w:rPr>
          <w:rFonts w:cs="Arial"/>
          <w:sz w:val="24"/>
          <w:szCs w:val="24"/>
        </w:rPr>
      </w:pPr>
      <w:r w:rsidRPr="00B65A83">
        <w:rPr>
          <w:rFonts w:cs="Arial"/>
          <w:sz w:val="24"/>
          <w:szCs w:val="24"/>
        </w:rPr>
        <w:t xml:space="preserve">For the first of these, the </w:t>
      </w:r>
      <w:proofErr w:type="gramStart"/>
      <w:r w:rsidR="007C580A" w:rsidRPr="00B65A83">
        <w:rPr>
          <w:rFonts w:cs="Arial"/>
          <w:sz w:val="24"/>
          <w:szCs w:val="24"/>
        </w:rPr>
        <w:t>Mayor</w:t>
      </w:r>
      <w:proofErr w:type="gramEnd"/>
      <w:r w:rsidR="00593D0F" w:rsidRPr="00B65A83">
        <w:rPr>
          <w:rFonts w:cs="Arial"/>
          <w:sz w:val="24"/>
          <w:szCs w:val="24"/>
        </w:rPr>
        <w:t xml:space="preserve"> </w:t>
      </w:r>
      <w:r w:rsidR="00E23C28" w:rsidRPr="00B65A83">
        <w:rPr>
          <w:rFonts w:cs="Arial"/>
          <w:sz w:val="24"/>
          <w:szCs w:val="24"/>
        </w:rPr>
        <w:t xml:space="preserve">should ensure that </w:t>
      </w:r>
      <w:r w:rsidRPr="00B65A83">
        <w:rPr>
          <w:rFonts w:cs="Arial"/>
          <w:sz w:val="24"/>
          <w:szCs w:val="24"/>
        </w:rPr>
        <w:t xml:space="preserve">its </w:t>
      </w:r>
      <w:r w:rsidR="00E23C28" w:rsidRPr="00B65A83">
        <w:rPr>
          <w:rFonts w:cs="Arial"/>
          <w:sz w:val="24"/>
          <w:szCs w:val="24"/>
        </w:rPr>
        <w:t>debt</w:t>
      </w:r>
      <w:r w:rsidR="00B65A83" w:rsidRPr="00B65A83">
        <w:rPr>
          <w:rFonts w:cs="Arial"/>
          <w:sz w:val="24"/>
          <w:szCs w:val="24"/>
        </w:rPr>
        <w:t>,</w:t>
      </w:r>
      <w:r w:rsidRPr="00B65A83">
        <w:rPr>
          <w:rFonts w:cs="Arial"/>
          <w:sz w:val="24"/>
          <w:szCs w:val="24"/>
        </w:rPr>
        <w:t xml:space="preserve"> net of investments</w:t>
      </w:r>
      <w:r w:rsidR="00B65A83" w:rsidRPr="00B65A83">
        <w:rPr>
          <w:rFonts w:cs="Arial"/>
          <w:sz w:val="24"/>
          <w:szCs w:val="24"/>
        </w:rPr>
        <w:t>,</w:t>
      </w:r>
      <w:r w:rsidRPr="00B65A83">
        <w:rPr>
          <w:rFonts w:cs="Arial"/>
          <w:sz w:val="24"/>
          <w:szCs w:val="24"/>
        </w:rPr>
        <w:t xml:space="preserve"> </w:t>
      </w:r>
      <w:r w:rsidR="00E23C28" w:rsidRPr="00B65A83">
        <w:rPr>
          <w:rFonts w:cs="Arial"/>
          <w:sz w:val="24"/>
          <w:szCs w:val="24"/>
        </w:rPr>
        <w:t xml:space="preserve">does not, except in the short term, exceed the total of the Capital Financing Requirement (CFR) in the preceding year, plus the estimate of any additional </w:t>
      </w:r>
      <w:r w:rsidRPr="00B65A83">
        <w:rPr>
          <w:rFonts w:cs="Arial"/>
          <w:sz w:val="24"/>
          <w:szCs w:val="24"/>
        </w:rPr>
        <w:t xml:space="preserve">CFR </w:t>
      </w:r>
      <w:r w:rsidR="00D575A7" w:rsidRPr="00B65A83">
        <w:rPr>
          <w:rFonts w:cs="Arial"/>
          <w:sz w:val="24"/>
          <w:szCs w:val="24"/>
        </w:rPr>
        <w:t>for 20</w:t>
      </w:r>
      <w:r w:rsidRPr="00B65A83">
        <w:rPr>
          <w:rFonts w:cs="Arial"/>
          <w:sz w:val="24"/>
          <w:szCs w:val="24"/>
        </w:rPr>
        <w:t>2</w:t>
      </w:r>
      <w:r w:rsidR="00602652">
        <w:rPr>
          <w:rFonts w:cs="Arial"/>
          <w:sz w:val="24"/>
          <w:szCs w:val="24"/>
        </w:rPr>
        <w:t>6</w:t>
      </w:r>
      <w:r w:rsidR="00916DFB" w:rsidRPr="00B65A83">
        <w:rPr>
          <w:rFonts w:cs="Arial"/>
          <w:sz w:val="24"/>
          <w:szCs w:val="24"/>
        </w:rPr>
        <w:t>/2</w:t>
      </w:r>
      <w:r w:rsidR="00602652">
        <w:rPr>
          <w:rFonts w:cs="Arial"/>
          <w:sz w:val="24"/>
          <w:szCs w:val="24"/>
        </w:rPr>
        <w:t>7</w:t>
      </w:r>
      <w:r w:rsidR="00E23C28" w:rsidRPr="00B65A83">
        <w:rPr>
          <w:rFonts w:cs="Arial"/>
          <w:sz w:val="24"/>
          <w:szCs w:val="24"/>
        </w:rPr>
        <w:t xml:space="preserve"> and the next two financial years.</w:t>
      </w:r>
    </w:p>
    <w:p w14:paraId="22D335BB" w14:textId="1BC0FC6F" w:rsidR="005B1D50" w:rsidRPr="001533EE" w:rsidRDefault="005B1D50" w:rsidP="0012769E">
      <w:pPr>
        <w:ind w:left="567" w:firstLine="3"/>
        <w:jc w:val="both"/>
        <w:rPr>
          <w:rFonts w:cs="Arial"/>
          <w:sz w:val="24"/>
          <w:szCs w:val="24"/>
        </w:rPr>
      </w:pPr>
    </w:p>
    <w:p w14:paraId="29CF7B22" w14:textId="6B7E8766" w:rsidR="001C7AF3" w:rsidRPr="001533EE" w:rsidRDefault="00CF3600" w:rsidP="005B1D50">
      <w:pPr>
        <w:ind w:left="567" w:firstLine="3"/>
        <w:jc w:val="both"/>
        <w:rPr>
          <w:rFonts w:cs="Arial"/>
          <w:sz w:val="24"/>
          <w:szCs w:val="24"/>
        </w:rPr>
      </w:pPr>
      <w:r w:rsidRPr="00CF3600">
        <w:rPr>
          <w:noProof/>
        </w:rPr>
        <w:drawing>
          <wp:inline distT="0" distB="0" distL="0" distR="0" wp14:anchorId="4EB5BCCB" wp14:editId="747963C4">
            <wp:extent cx="5702300" cy="1748790"/>
            <wp:effectExtent l="0" t="0" r="0" b="3810"/>
            <wp:docPr id="3712075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02300" cy="1748790"/>
                    </a:xfrm>
                    <a:prstGeom prst="rect">
                      <a:avLst/>
                    </a:prstGeom>
                    <a:noFill/>
                    <a:ln>
                      <a:noFill/>
                    </a:ln>
                  </pic:spPr>
                </pic:pic>
              </a:graphicData>
            </a:graphic>
          </wp:inline>
        </w:drawing>
      </w:r>
    </w:p>
    <w:p w14:paraId="55F24FC0" w14:textId="77777777" w:rsidR="00E23C28" w:rsidRPr="001533EE" w:rsidRDefault="00E23C28" w:rsidP="001C7AF3">
      <w:pPr>
        <w:jc w:val="both"/>
        <w:rPr>
          <w:rFonts w:cs="Arial"/>
          <w:sz w:val="24"/>
          <w:szCs w:val="24"/>
        </w:rPr>
      </w:pPr>
    </w:p>
    <w:p w14:paraId="4BEA6519" w14:textId="21A28BB0" w:rsidR="00B23E1E" w:rsidRPr="001533EE" w:rsidRDefault="0012769E" w:rsidP="00F22DED">
      <w:pPr>
        <w:ind w:left="567" w:firstLine="3"/>
        <w:jc w:val="both"/>
        <w:rPr>
          <w:rFonts w:cs="Arial"/>
          <w:sz w:val="24"/>
          <w:szCs w:val="24"/>
        </w:rPr>
      </w:pPr>
      <w:r w:rsidRPr="001533EE">
        <w:rPr>
          <w:rFonts w:cs="Arial"/>
          <w:sz w:val="24"/>
          <w:szCs w:val="24"/>
        </w:rPr>
        <w:t xml:space="preserve">The projected forecasts detailed in the table above show that there is still margin between </w:t>
      </w:r>
      <w:r w:rsidR="001043FF" w:rsidRPr="001533EE">
        <w:rPr>
          <w:rFonts w:cs="Arial"/>
          <w:sz w:val="24"/>
          <w:szCs w:val="24"/>
        </w:rPr>
        <w:t xml:space="preserve">the net borrowing and the CFR and therefore the </w:t>
      </w:r>
      <w:proofErr w:type="gramStart"/>
      <w:r w:rsidR="00B65A83">
        <w:rPr>
          <w:rFonts w:cs="Arial"/>
          <w:sz w:val="24"/>
          <w:szCs w:val="24"/>
        </w:rPr>
        <w:t>Mayor</w:t>
      </w:r>
      <w:proofErr w:type="gramEnd"/>
      <w:r w:rsidR="001043FF" w:rsidRPr="001533EE">
        <w:rPr>
          <w:rFonts w:cs="Arial"/>
          <w:sz w:val="24"/>
          <w:szCs w:val="24"/>
        </w:rPr>
        <w:t xml:space="preserve"> is within the limits </w:t>
      </w:r>
      <w:r w:rsidR="001043FF" w:rsidRPr="001533EE">
        <w:rPr>
          <w:rFonts w:cs="Arial"/>
          <w:sz w:val="24"/>
          <w:szCs w:val="24"/>
        </w:rPr>
        <w:lastRenderedPageBreak/>
        <w:t>required</w:t>
      </w:r>
      <w:r w:rsidR="0059367F" w:rsidRPr="001533EE">
        <w:rPr>
          <w:rFonts w:cs="Arial"/>
          <w:sz w:val="24"/>
          <w:szCs w:val="24"/>
        </w:rPr>
        <w:t>, although it is worth reflecting that this gap is forecast to reduce significantly in the later years of the plan.</w:t>
      </w:r>
    </w:p>
    <w:p w14:paraId="28BB77D0" w14:textId="77777777" w:rsidR="00791189" w:rsidRPr="001533EE" w:rsidRDefault="00791189" w:rsidP="00662674">
      <w:pPr>
        <w:jc w:val="both"/>
        <w:rPr>
          <w:rFonts w:cs="Arial"/>
          <w:sz w:val="24"/>
          <w:szCs w:val="24"/>
        </w:rPr>
      </w:pPr>
    </w:p>
    <w:p w14:paraId="7A353C95" w14:textId="176318BE" w:rsidR="00B23E1E" w:rsidRPr="001533EE" w:rsidRDefault="001C7AF3" w:rsidP="001C7AF3">
      <w:pPr>
        <w:ind w:left="567"/>
        <w:jc w:val="both"/>
        <w:rPr>
          <w:rFonts w:cs="Arial"/>
          <w:sz w:val="24"/>
          <w:szCs w:val="24"/>
        </w:rPr>
      </w:pPr>
      <w:r w:rsidRPr="001533EE">
        <w:rPr>
          <w:rFonts w:cs="Arial"/>
          <w:sz w:val="24"/>
          <w:szCs w:val="24"/>
        </w:rPr>
        <w:t>A further two prudential indicators control or anticipate the overall level of borrowing. These are:</w:t>
      </w:r>
    </w:p>
    <w:p w14:paraId="4FB90159" w14:textId="07758263" w:rsidR="001C7AF3" w:rsidRPr="001533EE" w:rsidRDefault="001C7AF3" w:rsidP="001C7AF3">
      <w:pPr>
        <w:ind w:left="567"/>
        <w:jc w:val="both"/>
        <w:rPr>
          <w:rFonts w:cs="Arial"/>
          <w:sz w:val="24"/>
          <w:szCs w:val="24"/>
        </w:rPr>
      </w:pPr>
    </w:p>
    <w:p w14:paraId="2292502B" w14:textId="1C140E13" w:rsidR="001C7AF3" w:rsidRPr="001F1C71" w:rsidRDefault="001C7AF3" w:rsidP="006A2F03">
      <w:pPr>
        <w:pStyle w:val="ListParagraph"/>
        <w:numPr>
          <w:ilvl w:val="0"/>
          <w:numId w:val="35"/>
        </w:numPr>
        <w:jc w:val="both"/>
        <w:rPr>
          <w:rFonts w:cs="Arial"/>
          <w:sz w:val="24"/>
          <w:szCs w:val="24"/>
        </w:rPr>
      </w:pPr>
      <w:r w:rsidRPr="001F1C71">
        <w:rPr>
          <w:rFonts w:cs="Arial"/>
          <w:sz w:val="24"/>
          <w:szCs w:val="24"/>
        </w:rPr>
        <w:t xml:space="preserve">The </w:t>
      </w:r>
      <w:r w:rsidRPr="001F1C71">
        <w:rPr>
          <w:rFonts w:cs="Arial"/>
          <w:b/>
          <w:bCs/>
          <w:sz w:val="24"/>
          <w:szCs w:val="24"/>
        </w:rPr>
        <w:t>Authorised Limit</w:t>
      </w:r>
      <w:r w:rsidRPr="001F1C71">
        <w:rPr>
          <w:rFonts w:cs="Arial"/>
          <w:sz w:val="24"/>
          <w:szCs w:val="24"/>
        </w:rPr>
        <w:t xml:space="preserve"> represents the legislative limit specified in Section 3 of the Local Government Act 2003.   Borrowing beyond this limit is prohibited and therefore would be ultra vires. The provision of temporary borrowing allows for temporary short-term borrowing in year to allow for cash flow movements.</w:t>
      </w:r>
    </w:p>
    <w:p w14:paraId="4217B548" w14:textId="4EB48241" w:rsidR="001C7AF3" w:rsidRPr="001533EE" w:rsidRDefault="001C7AF3" w:rsidP="001C7AF3">
      <w:pPr>
        <w:ind w:left="567"/>
        <w:jc w:val="both"/>
        <w:rPr>
          <w:rFonts w:cs="Arial"/>
          <w:sz w:val="24"/>
          <w:szCs w:val="24"/>
        </w:rPr>
      </w:pPr>
    </w:p>
    <w:p w14:paraId="5A731DD1" w14:textId="1E20DD3A" w:rsidR="001612C4" w:rsidRPr="00593D0F" w:rsidRDefault="001C7AF3" w:rsidP="006A2F03">
      <w:pPr>
        <w:numPr>
          <w:ilvl w:val="0"/>
          <w:numId w:val="35"/>
        </w:numPr>
        <w:jc w:val="both"/>
        <w:rPr>
          <w:rFonts w:cs="Arial"/>
          <w:sz w:val="24"/>
          <w:szCs w:val="24"/>
        </w:rPr>
      </w:pPr>
      <w:r w:rsidRPr="001533EE">
        <w:rPr>
          <w:rFonts w:cs="Arial"/>
          <w:sz w:val="24"/>
          <w:szCs w:val="24"/>
        </w:rPr>
        <w:t xml:space="preserve">The </w:t>
      </w:r>
      <w:r w:rsidRPr="001533EE">
        <w:rPr>
          <w:rFonts w:cs="Arial"/>
          <w:b/>
          <w:bCs/>
          <w:sz w:val="24"/>
          <w:szCs w:val="24"/>
        </w:rPr>
        <w:t>Operational Boundary</w:t>
      </w:r>
      <w:r w:rsidRPr="001533EE">
        <w:rPr>
          <w:rFonts w:cs="Arial"/>
          <w:sz w:val="24"/>
          <w:szCs w:val="24"/>
        </w:rPr>
        <w:t xml:space="preserve"> which is based on the probable external debt during the year. It is the affordable debt </w:t>
      </w:r>
      <w:r w:rsidR="009E0C14" w:rsidRPr="001533EE">
        <w:rPr>
          <w:rFonts w:cs="Arial"/>
          <w:sz w:val="24"/>
          <w:szCs w:val="24"/>
        </w:rPr>
        <w:t>limit, and</w:t>
      </w:r>
      <w:r w:rsidRPr="001533EE">
        <w:rPr>
          <w:rFonts w:cs="Arial"/>
          <w:sz w:val="24"/>
          <w:szCs w:val="24"/>
        </w:rPr>
        <w:t xml:space="preserve"> is set using the operational boundary</w:t>
      </w:r>
      <w:r w:rsidR="009506E2" w:rsidRPr="001533EE">
        <w:rPr>
          <w:rFonts w:cs="Arial"/>
          <w:sz w:val="24"/>
          <w:szCs w:val="24"/>
        </w:rPr>
        <w:t>,</w:t>
      </w:r>
      <w:r w:rsidRPr="001533EE">
        <w:rPr>
          <w:rFonts w:cs="Arial"/>
          <w:sz w:val="24"/>
          <w:szCs w:val="24"/>
        </w:rPr>
        <w:t xml:space="preserve"> plus scope for borrowing due to an unforeseen cashflow which may be required in the short term during the year, if for instance a large grant payment was delayed.</w:t>
      </w:r>
      <w:bookmarkStart w:id="29" w:name="_Hlk31632180"/>
    </w:p>
    <w:p w14:paraId="2EDDD84C" w14:textId="77777777" w:rsidR="001612C4" w:rsidRPr="001533EE" w:rsidRDefault="001612C4" w:rsidP="00206581">
      <w:pPr>
        <w:jc w:val="both"/>
        <w:rPr>
          <w:rFonts w:cs="Arial"/>
          <w:sz w:val="24"/>
          <w:szCs w:val="24"/>
        </w:rPr>
      </w:pPr>
    </w:p>
    <w:p w14:paraId="166479B5" w14:textId="0EAD3E8D" w:rsidR="00B23E1E" w:rsidRDefault="003328EF" w:rsidP="003328EF">
      <w:pPr>
        <w:ind w:left="567"/>
        <w:jc w:val="both"/>
        <w:rPr>
          <w:rFonts w:cs="Arial"/>
          <w:sz w:val="24"/>
          <w:szCs w:val="24"/>
        </w:rPr>
      </w:pPr>
      <w:r w:rsidRPr="001533EE">
        <w:rPr>
          <w:rFonts w:cs="Arial"/>
          <w:sz w:val="24"/>
          <w:szCs w:val="24"/>
        </w:rPr>
        <w:t xml:space="preserve">The </w:t>
      </w:r>
      <w:proofErr w:type="gramStart"/>
      <w:r w:rsidR="007C580A">
        <w:rPr>
          <w:rFonts w:cs="Arial"/>
          <w:sz w:val="24"/>
          <w:szCs w:val="24"/>
        </w:rPr>
        <w:t>Mayor</w:t>
      </w:r>
      <w:proofErr w:type="gramEnd"/>
      <w:r w:rsidRPr="001533EE">
        <w:rPr>
          <w:rFonts w:cs="Arial"/>
          <w:sz w:val="24"/>
          <w:szCs w:val="24"/>
        </w:rPr>
        <w:t xml:space="preserve"> is asked to approve the following limits:</w:t>
      </w:r>
    </w:p>
    <w:p w14:paraId="125F514F" w14:textId="77777777" w:rsidR="00593D0F" w:rsidRDefault="00593D0F" w:rsidP="003328EF">
      <w:pPr>
        <w:ind w:left="567"/>
        <w:jc w:val="both"/>
        <w:rPr>
          <w:rFonts w:cs="Arial"/>
          <w:sz w:val="24"/>
          <w:szCs w:val="24"/>
        </w:rPr>
      </w:pPr>
    </w:p>
    <w:p w14:paraId="558A0393" w14:textId="54A02FB9" w:rsidR="00593D0F" w:rsidRPr="001533EE" w:rsidRDefault="003A1E63" w:rsidP="003328EF">
      <w:pPr>
        <w:ind w:left="567"/>
        <w:jc w:val="both"/>
        <w:rPr>
          <w:rFonts w:cs="Arial"/>
          <w:sz w:val="24"/>
          <w:szCs w:val="24"/>
        </w:rPr>
      </w:pPr>
      <w:r w:rsidRPr="003A1E63">
        <w:rPr>
          <w:noProof/>
        </w:rPr>
        <w:drawing>
          <wp:inline distT="0" distB="0" distL="0" distR="0" wp14:anchorId="5C9CCD53" wp14:editId="56F9C17A">
            <wp:extent cx="5822950" cy="2910205"/>
            <wp:effectExtent l="0" t="0" r="6350" b="4445"/>
            <wp:docPr id="18042633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822950" cy="2910205"/>
                    </a:xfrm>
                    <a:prstGeom prst="rect">
                      <a:avLst/>
                    </a:prstGeom>
                    <a:noFill/>
                    <a:ln>
                      <a:noFill/>
                    </a:ln>
                  </pic:spPr>
                </pic:pic>
              </a:graphicData>
            </a:graphic>
          </wp:inline>
        </w:drawing>
      </w:r>
    </w:p>
    <w:p w14:paraId="279DCA2E" w14:textId="77777777" w:rsidR="00E76267" w:rsidRPr="001533EE" w:rsidRDefault="00E76267" w:rsidP="002838F2">
      <w:pPr>
        <w:jc w:val="both"/>
        <w:rPr>
          <w:rFonts w:cs="Arial"/>
          <w:sz w:val="24"/>
          <w:szCs w:val="24"/>
        </w:rPr>
      </w:pPr>
    </w:p>
    <w:bookmarkEnd w:id="29"/>
    <w:p w14:paraId="1C734D13" w14:textId="6C057935" w:rsidR="00EE2E87" w:rsidRPr="001533EE" w:rsidRDefault="00EE2E87" w:rsidP="001612C4">
      <w:pPr>
        <w:ind w:left="567"/>
        <w:rPr>
          <w:rFonts w:cs="Arial"/>
          <w:sz w:val="24"/>
          <w:szCs w:val="24"/>
        </w:rPr>
      </w:pPr>
      <w:r w:rsidRPr="001533EE">
        <w:rPr>
          <w:rFonts w:cs="Arial"/>
          <w:sz w:val="24"/>
          <w:szCs w:val="24"/>
        </w:rPr>
        <w:tab/>
      </w:r>
    </w:p>
    <w:p w14:paraId="453CDD16" w14:textId="0E59214F" w:rsidR="00E23C28" w:rsidRPr="001533EE" w:rsidRDefault="00E23C28" w:rsidP="006A2F03">
      <w:pPr>
        <w:numPr>
          <w:ilvl w:val="0"/>
          <w:numId w:val="35"/>
        </w:numPr>
        <w:rPr>
          <w:rFonts w:cs="Arial"/>
          <w:b/>
          <w:sz w:val="24"/>
          <w:szCs w:val="24"/>
        </w:rPr>
      </w:pPr>
      <w:r w:rsidRPr="001533EE">
        <w:rPr>
          <w:rFonts w:cs="Arial"/>
          <w:b/>
          <w:sz w:val="24"/>
          <w:szCs w:val="24"/>
        </w:rPr>
        <w:t>Actual External Debt</w:t>
      </w:r>
    </w:p>
    <w:p w14:paraId="0C5F799E" w14:textId="45C9526D" w:rsidR="00DD7EC9" w:rsidRDefault="00DD7EC9" w:rsidP="00DD7EC9">
      <w:pPr>
        <w:rPr>
          <w:rFonts w:cs="Arial"/>
          <w:b/>
          <w:sz w:val="24"/>
          <w:szCs w:val="24"/>
        </w:rPr>
      </w:pPr>
    </w:p>
    <w:p w14:paraId="02AD879E" w14:textId="0728C937" w:rsidR="00593D0F" w:rsidRPr="001533EE" w:rsidRDefault="003A1E63" w:rsidP="00593D0F">
      <w:pPr>
        <w:ind w:left="567"/>
        <w:rPr>
          <w:rFonts w:cs="Arial"/>
          <w:b/>
          <w:sz w:val="24"/>
          <w:szCs w:val="24"/>
        </w:rPr>
      </w:pPr>
      <w:r w:rsidRPr="003A1E63">
        <w:rPr>
          <w:noProof/>
        </w:rPr>
        <w:drawing>
          <wp:inline distT="0" distB="0" distL="0" distR="0" wp14:anchorId="21766A89" wp14:editId="01A07CE4">
            <wp:extent cx="5765800" cy="1167765"/>
            <wp:effectExtent l="0" t="0" r="6350" b="0"/>
            <wp:docPr id="149900067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65800" cy="1167765"/>
                    </a:xfrm>
                    <a:prstGeom prst="rect">
                      <a:avLst/>
                    </a:prstGeom>
                    <a:noFill/>
                    <a:ln>
                      <a:noFill/>
                    </a:ln>
                  </pic:spPr>
                </pic:pic>
              </a:graphicData>
            </a:graphic>
          </wp:inline>
        </w:drawing>
      </w:r>
    </w:p>
    <w:p w14:paraId="2E1C7FA6" w14:textId="73E45FB2" w:rsidR="00DD7EC9" w:rsidRPr="001533EE" w:rsidRDefault="00DD7EC9" w:rsidP="00DD7EC9">
      <w:pPr>
        <w:rPr>
          <w:rFonts w:cs="Arial"/>
          <w:b/>
          <w:sz w:val="24"/>
          <w:szCs w:val="24"/>
        </w:rPr>
      </w:pPr>
    </w:p>
    <w:p w14:paraId="0FB0EFB0" w14:textId="77777777" w:rsidR="00DD7EC9" w:rsidRDefault="00DD7EC9" w:rsidP="00DD7EC9">
      <w:pPr>
        <w:rPr>
          <w:rFonts w:cs="Arial"/>
          <w:b/>
          <w:sz w:val="24"/>
          <w:szCs w:val="24"/>
        </w:rPr>
      </w:pPr>
    </w:p>
    <w:p w14:paraId="13664C7E" w14:textId="77777777" w:rsidR="00C134E8" w:rsidRDefault="00C134E8" w:rsidP="00DD7EC9">
      <w:pPr>
        <w:rPr>
          <w:rFonts w:cs="Arial"/>
          <w:b/>
          <w:sz w:val="24"/>
          <w:szCs w:val="24"/>
        </w:rPr>
      </w:pPr>
    </w:p>
    <w:p w14:paraId="1C2689E6" w14:textId="77777777" w:rsidR="00C134E8" w:rsidRDefault="00C134E8" w:rsidP="00DD7EC9">
      <w:pPr>
        <w:rPr>
          <w:rFonts w:cs="Arial"/>
          <w:b/>
          <w:sz w:val="24"/>
          <w:szCs w:val="24"/>
        </w:rPr>
      </w:pPr>
    </w:p>
    <w:p w14:paraId="64CEA5DC" w14:textId="77777777" w:rsidR="00C134E8" w:rsidRDefault="00C134E8" w:rsidP="00DD7EC9">
      <w:pPr>
        <w:rPr>
          <w:rFonts w:cs="Arial"/>
          <w:b/>
          <w:sz w:val="24"/>
          <w:szCs w:val="24"/>
        </w:rPr>
      </w:pPr>
    </w:p>
    <w:p w14:paraId="34E8B7CC" w14:textId="77777777" w:rsidR="003A1E63" w:rsidRDefault="003A1E63" w:rsidP="00DD7EC9">
      <w:pPr>
        <w:rPr>
          <w:rFonts w:cs="Arial"/>
          <w:b/>
          <w:sz w:val="24"/>
          <w:szCs w:val="24"/>
        </w:rPr>
      </w:pPr>
    </w:p>
    <w:p w14:paraId="31087C42" w14:textId="77777777" w:rsidR="00C134E8" w:rsidRDefault="00C134E8" w:rsidP="00DD7EC9">
      <w:pPr>
        <w:rPr>
          <w:rFonts w:cs="Arial"/>
          <w:b/>
          <w:sz w:val="24"/>
          <w:szCs w:val="24"/>
        </w:rPr>
      </w:pPr>
    </w:p>
    <w:p w14:paraId="12BE75DD" w14:textId="77777777" w:rsidR="00C134E8" w:rsidRDefault="00C134E8" w:rsidP="00DD7EC9">
      <w:pPr>
        <w:rPr>
          <w:rFonts w:cs="Arial"/>
          <w:b/>
          <w:sz w:val="24"/>
          <w:szCs w:val="24"/>
        </w:rPr>
      </w:pPr>
    </w:p>
    <w:p w14:paraId="292995F5" w14:textId="77777777" w:rsidR="00C134E8" w:rsidRPr="001533EE" w:rsidRDefault="00C134E8" w:rsidP="00DD7EC9">
      <w:pPr>
        <w:rPr>
          <w:rFonts w:cs="Arial"/>
          <w:b/>
          <w:sz w:val="24"/>
          <w:szCs w:val="24"/>
        </w:rPr>
      </w:pPr>
    </w:p>
    <w:p w14:paraId="327D5CAD" w14:textId="6C84E464" w:rsidR="00DD7EC9" w:rsidRPr="001533EE" w:rsidRDefault="00DD7EC9" w:rsidP="006A2F03">
      <w:pPr>
        <w:numPr>
          <w:ilvl w:val="0"/>
          <w:numId w:val="35"/>
        </w:numPr>
        <w:rPr>
          <w:rFonts w:cs="Arial"/>
          <w:b/>
          <w:sz w:val="24"/>
          <w:szCs w:val="24"/>
        </w:rPr>
      </w:pPr>
      <w:bookmarkStart w:id="30" w:name="_Hlk158727946"/>
      <w:r w:rsidRPr="001533EE">
        <w:rPr>
          <w:rFonts w:cs="Arial"/>
          <w:b/>
          <w:sz w:val="24"/>
          <w:szCs w:val="24"/>
        </w:rPr>
        <w:t>Liability Benchmark</w:t>
      </w:r>
    </w:p>
    <w:p w14:paraId="64A60F87" w14:textId="77777777" w:rsidR="00C877F2" w:rsidRPr="001533EE" w:rsidRDefault="00C877F2" w:rsidP="00C877F2">
      <w:pPr>
        <w:ind w:left="720"/>
        <w:rPr>
          <w:rFonts w:cs="Arial"/>
          <w:b/>
          <w:sz w:val="24"/>
          <w:szCs w:val="24"/>
        </w:rPr>
      </w:pPr>
    </w:p>
    <w:p w14:paraId="3AB8A198" w14:textId="7507F6C4" w:rsidR="00A7424F" w:rsidRPr="001533EE" w:rsidRDefault="007564E8" w:rsidP="00405D6E">
      <w:pPr>
        <w:ind w:left="567" w:firstLine="3"/>
        <w:jc w:val="both"/>
        <w:rPr>
          <w:rFonts w:cs="Arial"/>
          <w:sz w:val="24"/>
          <w:szCs w:val="24"/>
        </w:rPr>
      </w:pPr>
      <w:r w:rsidRPr="001533EE">
        <w:rPr>
          <w:rFonts w:cs="Arial"/>
          <w:sz w:val="24"/>
          <w:szCs w:val="24"/>
        </w:rPr>
        <w:t xml:space="preserve">See </w:t>
      </w:r>
      <w:r w:rsidRPr="003A1E63">
        <w:rPr>
          <w:rFonts w:cs="Arial"/>
          <w:b/>
          <w:bCs/>
          <w:sz w:val="24"/>
          <w:szCs w:val="24"/>
        </w:rPr>
        <w:t xml:space="preserve">paragraph </w:t>
      </w:r>
      <w:r w:rsidR="00405D6E" w:rsidRPr="003A1E63">
        <w:rPr>
          <w:rFonts w:cs="Arial"/>
          <w:b/>
          <w:bCs/>
          <w:sz w:val="24"/>
          <w:szCs w:val="24"/>
        </w:rPr>
        <w:t>3.</w:t>
      </w:r>
      <w:r w:rsidR="00503937" w:rsidRPr="003A1E63">
        <w:rPr>
          <w:rFonts w:cs="Arial"/>
          <w:b/>
          <w:bCs/>
          <w:sz w:val="24"/>
          <w:szCs w:val="24"/>
        </w:rPr>
        <w:t>6</w:t>
      </w:r>
      <w:r w:rsidRPr="003A1E63">
        <w:rPr>
          <w:rFonts w:cs="Arial"/>
          <w:sz w:val="24"/>
          <w:szCs w:val="24"/>
        </w:rPr>
        <w:t xml:space="preserve"> above.</w:t>
      </w:r>
      <w:bookmarkEnd w:id="30"/>
      <w:r w:rsidR="00791189" w:rsidRPr="001533EE">
        <w:rPr>
          <w:rFonts w:cs="Arial"/>
          <w:sz w:val="24"/>
          <w:szCs w:val="24"/>
        </w:rPr>
        <w:tab/>
      </w:r>
    </w:p>
    <w:p w14:paraId="4260996C" w14:textId="4AF393DA" w:rsidR="00C877F2" w:rsidRPr="001533EE" w:rsidRDefault="00C877F2" w:rsidP="00E23C28">
      <w:pPr>
        <w:rPr>
          <w:rFonts w:cs="Arial"/>
          <w:sz w:val="24"/>
          <w:szCs w:val="24"/>
        </w:rPr>
      </w:pPr>
    </w:p>
    <w:p w14:paraId="48DFD0EE" w14:textId="7DF3A34B" w:rsidR="00DA6444" w:rsidRPr="001533EE" w:rsidRDefault="00DA6444" w:rsidP="00E23C28">
      <w:pPr>
        <w:rPr>
          <w:rFonts w:cs="Arial"/>
          <w:b/>
          <w:bCs/>
          <w:sz w:val="24"/>
          <w:szCs w:val="24"/>
        </w:rPr>
      </w:pPr>
      <w:r w:rsidRPr="001533EE">
        <w:rPr>
          <w:rFonts w:cs="Arial"/>
          <w:sz w:val="24"/>
          <w:szCs w:val="24"/>
        </w:rPr>
        <w:t>1.</w:t>
      </w:r>
      <w:r w:rsidR="00A7424F" w:rsidRPr="001533EE">
        <w:rPr>
          <w:rFonts w:cs="Arial"/>
          <w:sz w:val="24"/>
          <w:szCs w:val="24"/>
        </w:rPr>
        <w:t>6</w:t>
      </w:r>
      <w:r w:rsidRPr="001533EE">
        <w:rPr>
          <w:rFonts w:cs="Arial"/>
          <w:sz w:val="24"/>
          <w:szCs w:val="24"/>
        </w:rPr>
        <w:tab/>
      </w:r>
      <w:r w:rsidRPr="001533EE">
        <w:rPr>
          <w:rFonts w:cs="Arial"/>
          <w:b/>
          <w:bCs/>
          <w:sz w:val="24"/>
          <w:szCs w:val="24"/>
        </w:rPr>
        <w:t>Treasury Management Indicators</w:t>
      </w:r>
    </w:p>
    <w:p w14:paraId="4D5F26F5" w14:textId="77777777" w:rsidR="00281496" w:rsidRPr="001533EE" w:rsidRDefault="00281496" w:rsidP="00E23C28">
      <w:pPr>
        <w:rPr>
          <w:rFonts w:cs="Arial"/>
          <w:b/>
          <w:bCs/>
          <w:sz w:val="24"/>
          <w:szCs w:val="24"/>
        </w:rPr>
      </w:pPr>
    </w:p>
    <w:p w14:paraId="56665F71" w14:textId="2EABF07D" w:rsidR="00206581" w:rsidRPr="001533EE" w:rsidRDefault="00281496" w:rsidP="000E087D">
      <w:pPr>
        <w:ind w:left="567" w:firstLine="3"/>
        <w:jc w:val="both"/>
        <w:rPr>
          <w:rFonts w:cs="Arial"/>
          <w:sz w:val="24"/>
          <w:szCs w:val="24"/>
        </w:rPr>
      </w:pPr>
      <w:r w:rsidRPr="001533EE">
        <w:rPr>
          <w:rFonts w:cs="Arial"/>
          <w:sz w:val="24"/>
          <w:szCs w:val="24"/>
        </w:rPr>
        <w:t xml:space="preserve">The purpose of these is to contain </w:t>
      </w:r>
      <w:r w:rsidR="00EF4088" w:rsidRPr="001533EE">
        <w:rPr>
          <w:rFonts w:cs="Arial"/>
          <w:sz w:val="24"/>
          <w:szCs w:val="24"/>
        </w:rPr>
        <w:t xml:space="preserve">Treasury </w:t>
      </w:r>
      <w:r w:rsidR="00F22DED" w:rsidRPr="001533EE">
        <w:rPr>
          <w:rFonts w:cs="Arial"/>
          <w:sz w:val="24"/>
          <w:szCs w:val="24"/>
        </w:rPr>
        <w:t>M</w:t>
      </w:r>
      <w:r w:rsidR="00EF4088" w:rsidRPr="001533EE">
        <w:rPr>
          <w:rFonts w:cs="Arial"/>
          <w:sz w:val="24"/>
          <w:szCs w:val="24"/>
        </w:rPr>
        <w:t xml:space="preserve">anagement </w:t>
      </w:r>
      <w:r w:rsidRPr="001533EE">
        <w:rPr>
          <w:rFonts w:cs="Arial"/>
          <w:sz w:val="24"/>
          <w:szCs w:val="24"/>
        </w:rPr>
        <w:t xml:space="preserve">activity </w:t>
      </w:r>
      <w:r w:rsidR="00EF4088" w:rsidRPr="001533EE">
        <w:rPr>
          <w:rFonts w:cs="Arial"/>
          <w:sz w:val="24"/>
          <w:szCs w:val="24"/>
        </w:rPr>
        <w:t>within certain limits, thereby reducing the risk or likelihood of an adverse movement in interest rates or borrowing decisions impacting negatively on the</w:t>
      </w:r>
      <w:r w:rsidR="00593D0F">
        <w:rPr>
          <w:rFonts w:cs="Arial"/>
          <w:sz w:val="24"/>
          <w:szCs w:val="24"/>
        </w:rPr>
        <w:t xml:space="preserve"> </w:t>
      </w:r>
      <w:proofErr w:type="gramStart"/>
      <w:r w:rsidR="007C580A">
        <w:rPr>
          <w:rFonts w:cs="Arial"/>
          <w:sz w:val="24"/>
          <w:szCs w:val="24"/>
        </w:rPr>
        <w:t>Mayor</w:t>
      </w:r>
      <w:r w:rsidR="00EF4088" w:rsidRPr="001533EE">
        <w:rPr>
          <w:rFonts w:cs="Arial"/>
          <w:sz w:val="24"/>
          <w:szCs w:val="24"/>
        </w:rPr>
        <w:t>’s</w:t>
      </w:r>
      <w:proofErr w:type="gramEnd"/>
      <w:r w:rsidR="00EF4088" w:rsidRPr="001533EE">
        <w:rPr>
          <w:rFonts w:cs="Arial"/>
          <w:sz w:val="24"/>
          <w:szCs w:val="24"/>
        </w:rPr>
        <w:t xml:space="preserve"> overall financial position. The </w:t>
      </w:r>
      <w:proofErr w:type="gramStart"/>
      <w:r w:rsidR="007C580A">
        <w:rPr>
          <w:rFonts w:cs="Arial"/>
          <w:sz w:val="24"/>
          <w:szCs w:val="24"/>
        </w:rPr>
        <w:t>Mayor</w:t>
      </w:r>
      <w:proofErr w:type="gramEnd"/>
      <w:r w:rsidR="00593D0F">
        <w:rPr>
          <w:rFonts w:cs="Arial"/>
          <w:sz w:val="24"/>
          <w:szCs w:val="24"/>
        </w:rPr>
        <w:t xml:space="preserve"> </w:t>
      </w:r>
      <w:r w:rsidR="00EF4088" w:rsidRPr="001533EE">
        <w:rPr>
          <w:rFonts w:cs="Arial"/>
          <w:sz w:val="24"/>
          <w:szCs w:val="24"/>
        </w:rPr>
        <w:t>is asked to approve the following:</w:t>
      </w:r>
    </w:p>
    <w:p w14:paraId="34D58202" w14:textId="1CD1AEB0" w:rsidR="00A7424F" w:rsidRPr="001533EE" w:rsidRDefault="00A7424F" w:rsidP="00E23C28">
      <w:pPr>
        <w:rPr>
          <w:rFonts w:cs="Arial"/>
          <w:sz w:val="24"/>
          <w:szCs w:val="24"/>
        </w:rPr>
      </w:pPr>
    </w:p>
    <w:p w14:paraId="2D95CB98" w14:textId="08036AA8" w:rsidR="00E23C28" w:rsidRDefault="002838F2" w:rsidP="00C134E8">
      <w:pPr>
        <w:rPr>
          <w:rFonts w:cs="Arial"/>
          <w:b/>
          <w:sz w:val="24"/>
          <w:szCs w:val="24"/>
        </w:rPr>
      </w:pPr>
      <w:r w:rsidRPr="001533EE">
        <w:rPr>
          <w:rFonts w:cs="Arial"/>
          <w:sz w:val="24"/>
          <w:szCs w:val="24"/>
        </w:rPr>
        <w:tab/>
      </w:r>
      <w:r w:rsidR="00E23C28" w:rsidRPr="00B55944">
        <w:rPr>
          <w:rFonts w:cs="Arial"/>
          <w:b/>
          <w:sz w:val="24"/>
          <w:szCs w:val="24"/>
        </w:rPr>
        <w:t xml:space="preserve">Maturity Structure of borrowing </w:t>
      </w:r>
      <w:r w:rsidR="00A953CC" w:rsidRPr="00B55944">
        <w:rPr>
          <w:rFonts w:cs="Arial"/>
          <w:b/>
          <w:sz w:val="24"/>
          <w:szCs w:val="24"/>
        </w:rPr>
        <w:t>at 3</w:t>
      </w:r>
      <w:r w:rsidR="00132D7D" w:rsidRPr="00B55944">
        <w:rPr>
          <w:rFonts w:cs="Arial"/>
          <w:b/>
          <w:sz w:val="24"/>
          <w:szCs w:val="24"/>
        </w:rPr>
        <w:t>1/3/2</w:t>
      </w:r>
      <w:r w:rsidR="00602652" w:rsidRPr="00B55944">
        <w:rPr>
          <w:rFonts w:cs="Arial"/>
          <w:b/>
          <w:sz w:val="24"/>
          <w:szCs w:val="24"/>
        </w:rPr>
        <w:t>6</w:t>
      </w:r>
    </w:p>
    <w:p w14:paraId="7A61FF6F" w14:textId="77777777" w:rsidR="00132D7D" w:rsidRDefault="00132D7D" w:rsidP="00C134E8">
      <w:pPr>
        <w:rPr>
          <w:rFonts w:cs="Arial"/>
          <w:b/>
          <w:sz w:val="24"/>
          <w:szCs w:val="24"/>
        </w:rPr>
      </w:pPr>
    </w:p>
    <w:p w14:paraId="0DCE8AA7" w14:textId="3E88FB38" w:rsidR="00132D7D" w:rsidRDefault="00132D7D" w:rsidP="00C134E8">
      <w:pPr>
        <w:rPr>
          <w:rFonts w:cs="Arial"/>
          <w:b/>
          <w:sz w:val="24"/>
          <w:szCs w:val="24"/>
        </w:rPr>
      </w:pPr>
      <w:r>
        <w:rPr>
          <w:rFonts w:cs="Arial"/>
          <w:b/>
          <w:sz w:val="24"/>
          <w:szCs w:val="24"/>
        </w:rPr>
        <w:tab/>
      </w:r>
      <w:r w:rsidR="00B55944" w:rsidRPr="00B55944">
        <w:rPr>
          <w:noProof/>
        </w:rPr>
        <w:drawing>
          <wp:inline distT="0" distB="0" distL="0" distR="0" wp14:anchorId="38A2A7CB" wp14:editId="69961AA4">
            <wp:extent cx="4419600" cy="1778000"/>
            <wp:effectExtent l="0" t="0" r="0" b="0"/>
            <wp:docPr id="146882423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419600" cy="1778000"/>
                    </a:xfrm>
                    <a:prstGeom prst="rect">
                      <a:avLst/>
                    </a:prstGeom>
                    <a:noFill/>
                    <a:ln>
                      <a:noFill/>
                    </a:ln>
                  </pic:spPr>
                </pic:pic>
              </a:graphicData>
            </a:graphic>
          </wp:inline>
        </w:drawing>
      </w:r>
    </w:p>
    <w:p w14:paraId="7048D263" w14:textId="7C93CE92" w:rsidR="002403B5" w:rsidRDefault="002403B5" w:rsidP="00132D7D">
      <w:pPr>
        <w:tabs>
          <w:tab w:val="left" w:pos="567"/>
        </w:tabs>
        <w:rPr>
          <w:rFonts w:cs="Arial"/>
          <w:b/>
          <w:sz w:val="24"/>
          <w:szCs w:val="24"/>
        </w:rPr>
      </w:pPr>
    </w:p>
    <w:p w14:paraId="15057B68" w14:textId="77777777" w:rsidR="00132D7D" w:rsidRPr="00132D7D" w:rsidRDefault="00132D7D" w:rsidP="00132D7D">
      <w:pPr>
        <w:tabs>
          <w:tab w:val="left" w:pos="567"/>
        </w:tabs>
        <w:rPr>
          <w:rFonts w:cs="Arial"/>
          <w:b/>
          <w:sz w:val="24"/>
          <w:szCs w:val="24"/>
        </w:rPr>
      </w:pPr>
    </w:p>
    <w:p w14:paraId="64180482" w14:textId="6B1DC62E" w:rsidR="00E23C28" w:rsidRPr="001533EE" w:rsidRDefault="00E23C28" w:rsidP="00BA14AF">
      <w:pPr>
        <w:ind w:left="567" w:hanging="709"/>
        <w:rPr>
          <w:rFonts w:cs="Arial"/>
          <w:b/>
          <w:sz w:val="24"/>
          <w:szCs w:val="24"/>
        </w:rPr>
      </w:pPr>
      <w:r w:rsidRPr="001533EE">
        <w:rPr>
          <w:rFonts w:cs="Arial"/>
          <w:sz w:val="24"/>
          <w:szCs w:val="24"/>
        </w:rPr>
        <w:t>(i</w:t>
      </w:r>
      <w:r w:rsidR="00EF4088" w:rsidRPr="001533EE">
        <w:rPr>
          <w:rFonts w:cs="Arial"/>
          <w:sz w:val="24"/>
          <w:szCs w:val="24"/>
        </w:rPr>
        <w:t>i</w:t>
      </w:r>
      <w:r w:rsidRPr="001533EE">
        <w:rPr>
          <w:rFonts w:cs="Arial"/>
          <w:sz w:val="24"/>
          <w:szCs w:val="24"/>
        </w:rPr>
        <w:t>)</w:t>
      </w:r>
      <w:r w:rsidRPr="001533EE">
        <w:rPr>
          <w:rFonts w:cs="Arial"/>
          <w:sz w:val="24"/>
          <w:szCs w:val="24"/>
        </w:rPr>
        <w:tab/>
      </w:r>
      <w:r w:rsidRPr="001533EE">
        <w:rPr>
          <w:rFonts w:cs="Arial"/>
          <w:b/>
          <w:sz w:val="24"/>
          <w:szCs w:val="24"/>
        </w:rPr>
        <w:t>Total principal sums invested for periods longer than 365 days</w:t>
      </w:r>
    </w:p>
    <w:p w14:paraId="0871D8A8" w14:textId="77777777" w:rsidR="00516402" w:rsidRPr="001533EE" w:rsidRDefault="00516402" w:rsidP="00BA14AF">
      <w:pPr>
        <w:ind w:left="567" w:hanging="709"/>
        <w:rPr>
          <w:rFonts w:cs="Arial"/>
          <w:b/>
          <w:sz w:val="24"/>
          <w:szCs w:val="24"/>
        </w:rPr>
      </w:pPr>
    </w:p>
    <w:p w14:paraId="129147F3" w14:textId="1646537E" w:rsidR="00516402" w:rsidRPr="001533EE" w:rsidRDefault="00516402" w:rsidP="00516402">
      <w:pPr>
        <w:ind w:left="567" w:hanging="709"/>
        <w:jc w:val="both"/>
        <w:rPr>
          <w:rFonts w:cs="Arial"/>
          <w:sz w:val="24"/>
          <w:szCs w:val="24"/>
        </w:rPr>
      </w:pPr>
      <w:r w:rsidRPr="001533EE">
        <w:rPr>
          <w:rFonts w:cs="Arial"/>
          <w:b/>
          <w:sz w:val="24"/>
          <w:szCs w:val="24"/>
        </w:rPr>
        <w:tab/>
      </w:r>
      <w:r w:rsidRPr="001533EE">
        <w:rPr>
          <w:rFonts w:cs="Arial"/>
          <w:sz w:val="24"/>
          <w:szCs w:val="24"/>
        </w:rPr>
        <w:t xml:space="preserve">Based on estimated levels of funds and balances, the need for liquidity and day to day cash flow requirements, it is forecast </w:t>
      </w:r>
      <w:r w:rsidRPr="00B55944">
        <w:rPr>
          <w:rFonts w:cs="Arial"/>
          <w:sz w:val="24"/>
          <w:szCs w:val="24"/>
        </w:rPr>
        <w:t xml:space="preserve">that </w:t>
      </w:r>
      <w:r w:rsidR="004C1CEF" w:rsidRPr="00B55944">
        <w:rPr>
          <w:rFonts w:cs="Arial"/>
          <w:sz w:val="24"/>
          <w:szCs w:val="24"/>
        </w:rPr>
        <w:t>£</w:t>
      </w:r>
      <w:r w:rsidR="00602652" w:rsidRPr="00B55944">
        <w:rPr>
          <w:rFonts w:cs="Arial"/>
          <w:sz w:val="24"/>
          <w:szCs w:val="24"/>
        </w:rPr>
        <w:t>4.</w:t>
      </w:r>
      <w:r w:rsidR="00B55944" w:rsidRPr="00B55944">
        <w:rPr>
          <w:rFonts w:cs="Arial"/>
          <w:sz w:val="24"/>
          <w:szCs w:val="24"/>
        </w:rPr>
        <w:t>8</w:t>
      </w:r>
      <w:r w:rsidR="004C1CEF" w:rsidRPr="00B55944">
        <w:rPr>
          <w:rFonts w:cs="Arial"/>
          <w:sz w:val="24"/>
          <w:szCs w:val="24"/>
        </w:rPr>
        <w:t xml:space="preserve">m </w:t>
      </w:r>
      <w:r w:rsidR="00876472" w:rsidRPr="00B55944">
        <w:rPr>
          <w:rFonts w:cs="Arial"/>
          <w:sz w:val="24"/>
          <w:szCs w:val="24"/>
        </w:rPr>
        <w:t>(20%)</w:t>
      </w:r>
      <w:r w:rsidRPr="001533EE">
        <w:rPr>
          <w:rFonts w:cs="Arial"/>
          <w:sz w:val="24"/>
          <w:szCs w:val="24"/>
        </w:rPr>
        <w:t xml:space="preserve"> of the overall balances can be considered for longer term investments over 365 days subject to comparative yields on short term investments.</w:t>
      </w:r>
    </w:p>
    <w:p w14:paraId="6A82017A" w14:textId="77777777" w:rsidR="003F231F" w:rsidRPr="001533EE" w:rsidRDefault="003F231F" w:rsidP="00516402">
      <w:pPr>
        <w:ind w:left="567" w:hanging="709"/>
        <w:jc w:val="both"/>
        <w:rPr>
          <w:rFonts w:cs="Arial"/>
          <w:sz w:val="24"/>
          <w:szCs w:val="24"/>
        </w:rPr>
      </w:pPr>
    </w:p>
    <w:p w14:paraId="187F9B1C" w14:textId="77777777" w:rsidR="003F231F" w:rsidRPr="001533EE" w:rsidRDefault="003F231F" w:rsidP="00516402">
      <w:pPr>
        <w:ind w:left="567" w:hanging="709"/>
        <w:jc w:val="both"/>
        <w:rPr>
          <w:rFonts w:cs="Arial"/>
          <w:sz w:val="24"/>
          <w:szCs w:val="24"/>
        </w:rPr>
      </w:pPr>
    </w:p>
    <w:p w14:paraId="34866D90" w14:textId="022CCCD9" w:rsidR="009472CA" w:rsidRPr="001533EE" w:rsidRDefault="009472CA" w:rsidP="00265D4B">
      <w:pPr>
        <w:tabs>
          <w:tab w:val="left" w:pos="-1440"/>
        </w:tabs>
        <w:jc w:val="both"/>
        <w:rPr>
          <w:rFonts w:cs="Arial"/>
          <w:b/>
          <w:sz w:val="24"/>
          <w:szCs w:val="24"/>
        </w:rPr>
      </w:pPr>
    </w:p>
    <w:p w14:paraId="7A75F469" w14:textId="4C2B82AB" w:rsidR="009472CA" w:rsidRPr="001533EE" w:rsidRDefault="009472CA" w:rsidP="00265D4B">
      <w:pPr>
        <w:tabs>
          <w:tab w:val="left" w:pos="-1440"/>
        </w:tabs>
        <w:jc w:val="both"/>
        <w:rPr>
          <w:rFonts w:cs="Arial"/>
          <w:b/>
          <w:sz w:val="24"/>
          <w:szCs w:val="24"/>
        </w:rPr>
      </w:pPr>
    </w:p>
    <w:p w14:paraId="3C40CAE4" w14:textId="1CB44E78" w:rsidR="00EE2E87" w:rsidRPr="001533EE" w:rsidRDefault="00EE2E87" w:rsidP="00265D4B">
      <w:pPr>
        <w:tabs>
          <w:tab w:val="left" w:pos="-1440"/>
        </w:tabs>
        <w:jc w:val="both"/>
        <w:rPr>
          <w:rFonts w:cs="Arial"/>
          <w:b/>
          <w:sz w:val="24"/>
          <w:szCs w:val="24"/>
        </w:rPr>
      </w:pPr>
    </w:p>
    <w:p w14:paraId="4C330991" w14:textId="5D02CD73" w:rsidR="00EE2E87" w:rsidRPr="001533EE" w:rsidRDefault="00EE2E87" w:rsidP="00265D4B">
      <w:pPr>
        <w:tabs>
          <w:tab w:val="left" w:pos="-1440"/>
        </w:tabs>
        <w:jc w:val="both"/>
        <w:rPr>
          <w:rFonts w:cs="Arial"/>
          <w:b/>
          <w:sz w:val="24"/>
          <w:szCs w:val="24"/>
        </w:rPr>
      </w:pPr>
    </w:p>
    <w:p w14:paraId="4F90A372" w14:textId="7ADB311D" w:rsidR="00EE2E87" w:rsidRPr="001533EE" w:rsidRDefault="00EE2E87" w:rsidP="00265D4B">
      <w:pPr>
        <w:tabs>
          <w:tab w:val="left" w:pos="-1440"/>
        </w:tabs>
        <w:jc w:val="both"/>
        <w:rPr>
          <w:rFonts w:cs="Arial"/>
          <w:b/>
          <w:sz w:val="24"/>
          <w:szCs w:val="24"/>
        </w:rPr>
      </w:pPr>
    </w:p>
    <w:p w14:paraId="45F82A88" w14:textId="5C848D21" w:rsidR="00EE2E87" w:rsidRPr="001533EE" w:rsidRDefault="00EE2E87" w:rsidP="00265D4B">
      <w:pPr>
        <w:tabs>
          <w:tab w:val="left" w:pos="-1440"/>
        </w:tabs>
        <w:jc w:val="both"/>
        <w:rPr>
          <w:rFonts w:cs="Arial"/>
          <w:b/>
          <w:sz w:val="24"/>
          <w:szCs w:val="24"/>
        </w:rPr>
      </w:pPr>
    </w:p>
    <w:p w14:paraId="64271024" w14:textId="49A31729" w:rsidR="00EE2E87" w:rsidRPr="001533EE" w:rsidRDefault="00EE2E87" w:rsidP="00265D4B">
      <w:pPr>
        <w:tabs>
          <w:tab w:val="left" w:pos="-1440"/>
        </w:tabs>
        <w:jc w:val="both"/>
        <w:rPr>
          <w:rFonts w:cs="Arial"/>
          <w:b/>
          <w:sz w:val="24"/>
          <w:szCs w:val="24"/>
        </w:rPr>
      </w:pPr>
    </w:p>
    <w:p w14:paraId="10BC50D2" w14:textId="2375425C" w:rsidR="00EE2E87" w:rsidRPr="001533EE" w:rsidRDefault="00EE2E87" w:rsidP="00265D4B">
      <w:pPr>
        <w:tabs>
          <w:tab w:val="left" w:pos="-1440"/>
        </w:tabs>
        <w:jc w:val="both"/>
        <w:rPr>
          <w:rFonts w:cs="Arial"/>
          <w:b/>
          <w:sz w:val="24"/>
          <w:szCs w:val="24"/>
        </w:rPr>
      </w:pPr>
    </w:p>
    <w:p w14:paraId="647F947E" w14:textId="0D709425" w:rsidR="00EE2E87" w:rsidRPr="001533EE" w:rsidRDefault="00EE2E87" w:rsidP="00265D4B">
      <w:pPr>
        <w:tabs>
          <w:tab w:val="left" w:pos="-1440"/>
        </w:tabs>
        <w:jc w:val="both"/>
        <w:rPr>
          <w:rFonts w:cs="Arial"/>
          <w:b/>
          <w:sz w:val="24"/>
          <w:szCs w:val="24"/>
        </w:rPr>
      </w:pPr>
    </w:p>
    <w:p w14:paraId="32F01846" w14:textId="3FDFFE2F" w:rsidR="00EE2E87" w:rsidRPr="001533EE" w:rsidRDefault="00EE2E87" w:rsidP="00265D4B">
      <w:pPr>
        <w:tabs>
          <w:tab w:val="left" w:pos="-1440"/>
        </w:tabs>
        <w:jc w:val="both"/>
        <w:rPr>
          <w:rFonts w:cs="Arial"/>
          <w:b/>
          <w:sz w:val="24"/>
          <w:szCs w:val="24"/>
        </w:rPr>
      </w:pPr>
    </w:p>
    <w:p w14:paraId="0F27393A" w14:textId="6ECB2BFA" w:rsidR="00EE2E87" w:rsidRPr="001533EE" w:rsidRDefault="00EE2E87" w:rsidP="00265D4B">
      <w:pPr>
        <w:tabs>
          <w:tab w:val="left" w:pos="-1440"/>
        </w:tabs>
        <w:jc w:val="both"/>
        <w:rPr>
          <w:rFonts w:cs="Arial"/>
          <w:b/>
          <w:sz w:val="24"/>
          <w:szCs w:val="24"/>
        </w:rPr>
      </w:pPr>
    </w:p>
    <w:p w14:paraId="036301B9" w14:textId="0845B8E7" w:rsidR="00EE2E87" w:rsidRPr="001533EE" w:rsidRDefault="00EE2E87" w:rsidP="00265D4B">
      <w:pPr>
        <w:tabs>
          <w:tab w:val="left" w:pos="-1440"/>
        </w:tabs>
        <w:jc w:val="both"/>
        <w:rPr>
          <w:rFonts w:cs="Arial"/>
          <w:b/>
          <w:sz w:val="24"/>
          <w:szCs w:val="24"/>
        </w:rPr>
      </w:pPr>
    </w:p>
    <w:p w14:paraId="75D32D36" w14:textId="417A72C5" w:rsidR="00EE2E87" w:rsidRPr="001533EE" w:rsidRDefault="00EE2E87" w:rsidP="00265D4B">
      <w:pPr>
        <w:tabs>
          <w:tab w:val="left" w:pos="-1440"/>
        </w:tabs>
        <w:jc w:val="both"/>
        <w:rPr>
          <w:rFonts w:cs="Arial"/>
          <w:b/>
          <w:sz w:val="24"/>
          <w:szCs w:val="24"/>
        </w:rPr>
      </w:pPr>
    </w:p>
    <w:p w14:paraId="1191B6AD" w14:textId="3867BF3E" w:rsidR="00EE2E87" w:rsidRPr="001533EE" w:rsidRDefault="00EE2E87" w:rsidP="00265D4B">
      <w:pPr>
        <w:tabs>
          <w:tab w:val="left" w:pos="-1440"/>
        </w:tabs>
        <w:jc w:val="both"/>
        <w:rPr>
          <w:rFonts w:cs="Arial"/>
          <w:b/>
          <w:sz w:val="24"/>
          <w:szCs w:val="24"/>
        </w:rPr>
      </w:pPr>
    </w:p>
    <w:p w14:paraId="7F207141" w14:textId="1AA5D29C" w:rsidR="00127804" w:rsidRPr="001533EE" w:rsidRDefault="00127804" w:rsidP="00265D4B">
      <w:pPr>
        <w:tabs>
          <w:tab w:val="left" w:pos="-1440"/>
        </w:tabs>
        <w:jc w:val="both"/>
        <w:rPr>
          <w:rFonts w:cs="Arial"/>
          <w:b/>
          <w:sz w:val="24"/>
          <w:szCs w:val="24"/>
        </w:rPr>
      </w:pPr>
    </w:p>
    <w:p w14:paraId="668D7838" w14:textId="5C49FC78" w:rsidR="00127804" w:rsidRPr="001533EE" w:rsidRDefault="00127804" w:rsidP="00265D4B">
      <w:pPr>
        <w:tabs>
          <w:tab w:val="left" w:pos="-1440"/>
        </w:tabs>
        <w:jc w:val="both"/>
        <w:rPr>
          <w:rFonts w:cs="Arial"/>
          <w:b/>
          <w:sz w:val="24"/>
          <w:szCs w:val="24"/>
        </w:rPr>
      </w:pPr>
    </w:p>
    <w:p w14:paraId="1D6778AA" w14:textId="258CC8E8" w:rsidR="00127804" w:rsidRDefault="00127804" w:rsidP="00265D4B">
      <w:pPr>
        <w:tabs>
          <w:tab w:val="left" w:pos="-1440"/>
        </w:tabs>
        <w:jc w:val="both"/>
        <w:rPr>
          <w:rFonts w:cs="Arial"/>
          <w:b/>
          <w:sz w:val="24"/>
          <w:szCs w:val="24"/>
        </w:rPr>
      </w:pPr>
    </w:p>
    <w:p w14:paraId="3F73350F" w14:textId="77777777" w:rsidR="00132D7D" w:rsidRPr="001533EE" w:rsidRDefault="00132D7D" w:rsidP="00265D4B">
      <w:pPr>
        <w:tabs>
          <w:tab w:val="left" w:pos="-1440"/>
        </w:tabs>
        <w:jc w:val="both"/>
        <w:rPr>
          <w:rFonts w:cs="Arial"/>
          <w:b/>
          <w:sz w:val="24"/>
          <w:szCs w:val="24"/>
        </w:rPr>
      </w:pPr>
    </w:p>
    <w:p w14:paraId="25043A22" w14:textId="2E36F9A1" w:rsidR="00127804" w:rsidRPr="001533EE" w:rsidRDefault="00127804" w:rsidP="00265D4B">
      <w:pPr>
        <w:tabs>
          <w:tab w:val="left" w:pos="-1440"/>
        </w:tabs>
        <w:jc w:val="both"/>
        <w:rPr>
          <w:rFonts w:cs="Arial"/>
          <w:b/>
          <w:sz w:val="24"/>
          <w:szCs w:val="24"/>
        </w:rPr>
      </w:pPr>
    </w:p>
    <w:p w14:paraId="0E134FB6" w14:textId="15E5B1C4" w:rsidR="00127804" w:rsidRPr="001533EE" w:rsidRDefault="00127804" w:rsidP="00265D4B">
      <w:pPr>
        <w:tabs>
          <w:tab w:val="left" w:pos="-1440"/>
        </w:tabs>
        <w:jc w:val="both"/>
        <w:rPr>
          <w:rFonts w:cs="Arial"/>
          <w:b/>
          <w:sz w:val="24"/>
          <w:szCs w:val="24"/>
        </w:rPr>
      </w:pPr>
    </w:p>
    <w:p w14:paraId="32BE3BD1" w14:textId="77777777" w:rsidR="009472CA" w:rsidRPr="00163139" w:rsidRDefault="009472CA" w:rsidP="009472CA">
      <w:pPr>
        <w:ind w:left="567"/>
        <w:jc w:val="right"/>
        <w:rPr>
          <w:rFonts w:eastAsia="Arial" w:cs="Arial"/>
          <w:b/>
          <w:bCs/>
          <w:sz w:val="24"/>
          <w:szCs w:val="24"/>
        </w:rPr>
      </w:pPr>
      <w:bookmarkStart w:id="31" w:name="_Toc465084303"/>
      <w:r w:rsidRPr="00163139">
        <w:rPr>
          <w:rFonts w:eastAsia="Arial" w:cs="Arial"/>
          <w:b/>
          <w:bCs/>
          <w:sz w:val="24"/>
          <w:szCs w:val="24"/>
        </w:rPr>
        <w:t>APPENDIX B</w:t>
      </w:r>
    </w:p>
    <w:p w14:paraId="02ADCD0D" w14:textId="5651934D" w:rsidR="009472CA" w:rsidRPr="001533EE" w:rsidRDefault="009472CA" w:rsidP="007C1D12">
      <w:pPr>
        <w:numPr>
          <w:ilvl w:val="12"/>
          <w:numId w:val="0"/>
        </w:numPr>
        <w:tabs>
          <w:tab w:val="left" w:pos="360"/>
        </w:tabs>
        <w:spacing w:before="90" w:after="90"/>
        <w:jc w:val="center"/>
        <w:rPr>
          <w:rFonts w:cs="Arial"/>
          <w:b/>
          <w:spacing w:val="-5"/>
          <w:sz w:val="24"/>
          <w:szCs w:val="24"/>
          <w:lang w:eastAsia="en-US"/>
        </w:rPr>
      </w:pPr>
      <w:bookmarkStart w:id="32" w:name="_Toc22031539"/>
      <w:r w:rsidRPr="00163139">
        <w:rPr>
          <w:rFonts w:cs="Arial"/>
          <w:b/>
          <w:sz w:val="24"/>
          <w:szCs w:val="24"/>
        </w:rPr>
        <w:t>APPROVED LENDING LIST 202</w:t>
      </w:r>
      <w:r w:rsidR="008C7EE8" w:rsidRPr="00163139">
        <w:rPr>
          <w:rFonts w:cs="Arial"/>
          <w:b/>
          <w:sz w:val="24"/>
          <w:szCs w:val="24"/>
        </w:rPr>
        <w:t>6</w:t>
      </w:r>
      <w:r w:rsidRPr="00163139">
        <w:rPr>
          <w:rFonts w:cs="Arial"/>
          <w:b/>
          <w:sz w:val="24"/>
          <w:szCs w:val="24"/>
        </w:rPr>
        <w:t>/2</w:t>
      </w:r>
      <w:r w:rsidR="008C7EE8" w:rsidRPr="00163139">
        <w:rPr>
          <w:rFonts w:cs="Arial"/>
          <w:b/>
          <w:sz w:val="24"/>
          <w:szCs w:val="24"/>
        </w:rPr>
        <w:t>7</w:t>
      </w:r>
    </w:p>
    <w:p w14:paraId="60A02D22" w14:textId="77777777" w:rsidR="009472CA" w:rsidRPr="001533EE" w:rsidRDefault="009472CA" w:rsidP="009472CA">
      <w:pPr>
        <w:jc w:val="center"/>
        <w:rPr>
          <w:rFonts w:cs="Arial"/>
          <w:b/>
          <w:sz w:val="24"/>
          <w:szCs w:val="24"/>
        </w:rPr>
      </w:pPr>
    </w:p>
    <w:p w14:paraId="4FCBB995" w14:textId="01E87083" w:rsidR="009472CA" w:rsidRDefault="009472CA" w:rsidP="000B3EB6">
      <w:pPr>
        <w:ind w:left="567"/>
        <w:rPr>
          <w:rFonts w:cs="Arial"/>
          <w:sz w:val="24"/>
          <w:szCs w:val="24"/>
        </w:rPr>
      </w:pPr>
      <w:r w:rsidRPr="001533EE">
        <w:rPr>
          <w:rFonts w:cs="Arial"/>
          <w:sz w:val="24"/>
          <w:szCs w:val="24"/>
        </w:rPr>
        <w:t>Maximum sum invested at any time (The overall total exposure figure covers both Specified and</w:t>
      </w:r>
      <w:r w:rsidR="000B3EB6" w:rsidRPr="001533EE">
        <w:rPr>
          <w:rFonts w:cs="Arial"/>
          <w:sz w:val="24"/>
          <w:szCs w:val="24"/>
        </w:rPr>
        <w:t xml:space="preserve"> </w:t>
      </w:r>
      <w:r w:rsidRPr="001533EE">
        <w:rPr>
          <w:rFonts w:cs="Arial"/>
          <w:sz w:val="24"/>
          <w:szCs w:val="24"/>
        </w:rPr>
        <w:t>Non-Specified investments)</w:t>
      </w:r>
      <w:r w:rsidR="00503937">
        <w:rPr>
          <w:rFonts w:cs="Arial"/>
          <w:sz w:val="24"/>
          <w:szCs w:val="24"/>
        </w:rPr>
        <w:t xml:space="preserve"> </w:t>
      </w:r>
    </w:p>
    <w:p w14:paraId="5BD594B7" w14:textId="77777777" w:rsidR="00163139" w:rsidRDefault="00163139" w:rsidP="000B3EB6">
      <w:pPr>
        <w:ind w:left="567"/>
        <w:rPr>
          <w:rFonts w:cs="Arial"/>
          <w:sz w:val="24"/>
          <w:szCs w:val="24"/>
        </w:rPr>
      </w:pPr>
    </w:p>
    <w:tbl>
      <w:tblPr>
        <w:tblStyle w:val="TableGrid1"/>
        <w:tblW w:w="10392" w:type="dxa"/>
        <w:tblInd w:w="0" w:type="dxa"/>
        <w:tblCellMar>
          <w:top w:w="15" w:type="dxa"/>
          <w:left w:w="41" w:type="dxa"/>
          <w:bottom w:w="12" w:type="dxa"/>
          <w:right w:w="108" w:type="dxa"/>
        </w:tblCellMar>
        <w:tblLook w:val="04A0" w:firstRow="1" w:lastRow="0" w:firstColumn="1" w:lastColumn="0" w:noHBand="0" w:noVBand="1"/>
      </w:tblPr>
      <w:tblGrid>
        <w:gridCol w:w="4818"/>
        <w:gridCol w:w="1168"/>
        <w:gridCol w:w="1102"/>
        <w:gridCol w:w="1101"/>
        <w:gridCol w:w="1101"/>
        <w:gridCol w:w="1102"/>
      </w:tblGrid>
      <w:tr w:rsidR="00163139" w:rsidRPr="00163139" w14:paraId="72AADA0D" w14:textId="77777777" w:rsidTr="0061569A">
        <w:trPr>
          <w:trHeight w:val="727"/>
        </w:trPr>
        <w:tc>
          <w:tcPr>
            <w:tcW w:w="4818" w:type="dxa"/>
            <w:vMerge w:val="restart"/>
            <w:tcBorders>
              <w:top w:val="single" w:sz="8" w:space="0" w:color="000000"/>
              <w:left w:val="single" w:sz="8" w:space="0" w:color="000000"/>
              <w:bottom w:val="single" w:sz="8" w:space="0" w:color="000000"/>
              <w:right w:val="single" w:sz="8" w:space="0" w:color="000000"/>
            </w:tcBorders>
          </w:tcPr>
          <w:p w14:paraId="32A1644B" w14:textId="77777777" w:rsidR="00163139" w:rsidRPr="00163139" w:rsidRDefault="00163139" w:rsidP="00163139">
            <w:pPr>
              <w:spacing w:after="160" w:line="259" w:lineRule="auto"/>
              <w:rPr>
                <w:spacing w:val="-5"/>
                <w:lang w:eastAsia="en-US"/>
              </w:rPr>
            </w:pPr>
          </w:p>
        </w:tc>
        <w:tc>
          <w:tcPr>
            <w:tcW w:w="1168" w:type="dxa"/>
            <w:vMerge w:val="restart"/>
            <w:tcBorders>
              <w:top w:val="single" w:sz="8" w:space="0" w:color="000000"/>
              <w:left w:val="single" w:sz="8" w:space="0" w:color="000000"/>
              <w:bottom w:val="single" w:sz="8" w:space="0" w:color="000000"/>
              <w:right w:val="single" w:sz="8" w:space="0" w:color="000000"/>
            </w:tcBorders>
          </w:tcPr>
          <w:p w14:paraId="74916371" w14:textId="77777777" w:rsidR="00163139" w:rsidRPr="00163139" w:rsidRDefault="00163139" w:rsidP="00163139">
            <w:pPr>
              <w:spacing w:line="259" w:lineRule="auto"/>
              <w:ind w:left="157"/>
              <w:rPr>
                <w:spacing w:val="-5"/>
                <w:lang w:eastAsia="en-US"/>
              </w:rPr>
            </w:pPr>
            <w:r w:rsidRPr="00163139">
              <w:rPr>
                <w:b/>
                <w:spacing w:val="-5"/>
                <w:sz w:val="21"/>
                <w:lang w:eastAsia="en-US"/>
              </w:rPr>
              <w:t>Country</w:t>
            </w:r>
          </w:p>
        </w:tc>
        <w:tc>
          <w:tcPr>
            <w:tcW w:w="2203" w:type="dxa"/>
            <w:gridSpan w:val="2"/>
            <w:tcBorders>
              <w:top w:val="single" w:sz="8" w:space="0" w:color="000000"/>
              <w:left w:val="single" w:sz="8" w:space="0" w:color="000000"/>
              <w:bottom w:val="single" w:sz="8" w:space="0" w:color="000000"/>
              <w:right w:val="single" w:sz="8" w:space="0" w:color="000000"/>
            </w:tcBorders>
          </w:tcPr>
          <w:p w14:paraId="08A0C9DC" w14:textId="77777777" w:rsidR="00163139" w:rsidRPr="00163139" w:rsidRDefault="00163139" w:rsidP="00163139">
            <w:pPr>
              <w:spacing w:after="10" w:line="259" w:lineRule="auto"/>
              <w:ind w:left="13"/>
              <w:jc w:val="center"/>
              <w:rPr>
                <w:spacing w:val="-5"/>
                <w:lang w:eastAsia="en-US"/>
              </w:rPr>
            </w:pPr>
            <w:r w:rsidRPr="00163139">
              <w:rPr>
                <w:b/>
                <w:spacing w:val="-5"/>
                <w:sz w:val="21"/>
                <w:lang w:eastAsia="en-US"/>
              </w:rPr>
              <w:t xml:space="preserve">Specified </w:t>
            </w:r>
          </w:p>
          <w:p w14:paraId="1B6CAE4D" w14:textId="77777777" w:rsidR="00163139" w:rsidRPr="00163139" w:rsidRDefault="00163139" w:rsidP="00163139">
            <w:pPr>
              <w:spacing w:after="10" w:line="259" w:lineRule="auto"/>
              <w:ind w:left="72"/>
              <w:jc w:val="center"/>
              <w:rPr>
                <w:spacing w:val="-5"/>
                <w:lang w:eastAsia="en-US"/>
              </w:rPr>
            </w:pPr>
            <w:r w:rsidRPr="00163139">
              <w:rPr>
                <w:b/>
                <w:spacing w:val="-5"/>
                <w:sz w:val="21"/>
                <w:lang w:eastAsia="en-US"/>
              </w:rPr>
              <w:t>Investments</w:t>
            </w:r>
          </w:p>
          <w:p w14:paraId="33678E59" w14:textId="77777777" w:rsidR="00163139" w:rsidRPr="00163139" w:rsidRDefault="00163139" w:rsidP="00163139">
            <w:pPr>
              <w:spacing w:line="259" w:lineRule="auto"/>
              <w:ind w:left="67"/>
              <w:jc w:val="center"/>
              <w:rPr>
                <w:spacing w:val="-5"/>
                <w:lang w:eastAsia="en-US"/>
              </w:rPr>
            </w:pPr>
            <w:r w:rsidRPr="00163139">
              <w:rPr>
                <w:b/>
                <w:spacing w:val="-5"/>
                <w:sz w:val="21"/>
                <w:lang w:eastAsia="en-US"/>
              </w:rPr>
              <w:t>(up to 1 year)</w:t>
            </w:r>
          </w:p>
        </w:tc>
        <w:tc>
          <w:tcPr>
            <w:tcW w:w="2202" w:type="dxa"/>
            <w:gridSpan w:val="2"/>
            <w:tcBorders>
              <w:top w:val="single" w:sz="8" w:space="0" w:color="000000"/>
              <w:left w:val="single" w:sz="8" w:space="0" w:color="000000"/>
              <w:bottom w:val="single" w:sz="8" w:space="0" w:color="000000"/>
              <w:right w:val="single" w:sz="8" w:space="0" w:color="000000"/>
            </w:tcBorders>
          </w:tcPr>
          <w:p w14:paraId="26CCC606" w14:textId="77777777" w:rsidR="00163139" w:rsidRPr="00163139" w:rsidRDefault="00163139" w:rsidP="00163139">
            <w:pPr>
              <w:spacing w:after="10" w:line="259" w:lineRule="auto"/>
              <w:ind w:left="13"/>
              <w:jc w:val="center"/>
              <w:rPr>
                <w:spacing w:val="-5"/>
                <w:lang w:eastAsia="en-US"/>
              </w:rPr>
            </w:pPr>
            <w:r w:rsidRPr="00163139">
              <w:rPr>
                <w:b/>
                <w:spacing w:val="-5"/>
                <w:sz w:val="21"/>
                <w:lang w:eastAsia="en-US"/>
              </w:rPr>
              <w:t xml:space="preserve">Non-Specified </w:t>
            </w:r>
          </w:p>
          <w:p w14:paraId="18D597EB" w14:textId="77777777" w:rsidR="00163139" w:rsidRPr="00163139" w:rsidRDefault="00163139" w:rsidP="00163139">
            <w:pPr>
              <w:spacing w:after="10" w:line="259" w:lineRule="auto"/>
              <w:ind w:left="73"/>
              <w:jc w:val="center"/>
              <w:rPr>
                <w:spacing w:val="-5"/>
                <w:lang w:eastAsia="en-US"/>
              </w:rPr>
            </w:pPr>
            <w:r w:rsidRPr="00163139">
              <w:rPr>
                <w:b/>
                <w:spacing w:val="-5"/>
                <w:sz w:val="21"/>
                <w:lang w:eastAsia="en-US"/>
              </w:rPr>
              <w:t>Investments</w:t>
            </w:r>
          </w:p>
          <w:p w14:paraId="5531CDA3" w14:textId="77777777" w:rsidR="00163139" w:rsidRPr="00163139" w:rsidRDefault="00163139" w:rsidP="00163139">
            <w:pPr>
              <w:spacing w:line="259" w:lineRule="auto"/>
              <w:ind w:left="71"/>
              <w:rPr>
                <w:spacing w:val="-5"/>
                <w:lang w:eastAsia="en-US"/>
              </w:rPr>
            </w:pPr>
            <w:r w:rsidRPr="00163139">
              <w:rPr>
                <w:b/>
                <w:spacing w:val="-5"/>
                <w:sz w:val="21"/>
                <w:lang w:eastAsia="en-US"/>
              </w:rPr>
              <w:t>(&gt; 1 year £40m limit)</w:t>
            </w:r>
          </w:p>
        </w:tc>
      </w:tr>
      <w:tr w:rsidR="00163139" w:rsidRPr="00163139" w14:paraId="345484F1" w14:textId="77777777" w:rsidTr="0061569A">
        <w:trPr>
          <w:trHeight w:val="616"/>
        </w:trPr>
        <w:tc>
          <w:tcPr>
            <w:tcW w:w="0" w:type="auto"/>
            <w:vMerge/>
            <w:tcBorders>
              <w:top w:val="nil"/>
              <w:left w:val="single" w:sz="8" w:space="0" w:color="000000"/>
              <w:bottom w:val="single" w:sz="8" w:space="0" w:color="000000"/>
              <w:right w:val="single" w:sz="8" w:space="0" w:color="000000"/>
            </w:tcBorders>
          </w:tcPr>
          <w:p w14:paraId="1F7C1DE2" w14:textId="77777777" w:rsidR="00163139" w:rsidRPr="00163139" w:rsidRDefault="00163139" w:rsidP="00163139">
            <w:pPr>
              <w:spacing w:after="160" w:line="259" w:lineRule="auto"/>
              <w:rPr>
                <w:spacing w:val="-5"/>
                <w:lang w:eastAsia="en-US"/>
              </w:rPr>
            </w:pPr>
          </w:p>
        </w:tc>
        <w:tc>
          <w:tcPr>
            <w:tcW w:w="0" w:type="auto"/>
            <w:vMerge/>
            <w:tcBorders>
              <w:top w:val="nil"/>
              <w:left w:val="single" w:sz="8" w:space="0" w:color="000000"/>
              <w:bottom w:val="single" w:sz="8" w:space="0" w:color="000000"/>
              <w:right w:val="single" w:sz="8" w:space="0" w:color="000000"/>
            </w:tcBorders>
          </w:tcPr>
          <w:p w14:paraId="779335FF" w14:textId="77777777" w:rsidR="00163139" w:rsidRPr="00163139" w:rsidRDefault="00163139" w:rsidP="00163139">
            <w:pPr>
              <w:spacing w:after="160" w:line="259" w:lineRule="auto"/>
              <w:rPr>
                <w:spacing w:val="-5"/>
                <w:lang w:eastAsia="en-US"/>
              </w:rPr>
            </w:pPr>
          </w:p>
        </w:tc>
        <w:tc>
          <w:tcPr>
            <w:tcW w:w="1102" w:type="dxa"/>
            <w:tcBorders>
              <w:top w:val="single" w:sz="8" w:space="0" w:color="000000"/>
              <w:left w:val="single" w:sz="8" w:space="0" w:color="000000"/>
              <w:bottom w:val="single" w:sz="8" w:space="0" w:color="000000"/>
              <w:right w:val="single" w:sz="8" w:space="0" w:color="000000"/>
            </w:tcBorders>
          </w:tcPr>
          <w:p w14:paraId="658B821A" w14:textId="77777777" w:rsidR="00163139" w:rsidRPr="00163139" w:rsidRDefault="00163139" w:rsidP="00163139">
            <w:pPr>
              <w:spacing w:after="12" w:line="259" w:lineRule="auto"/>
              <w:ind w:left="69"/>
              <w:jc w:val="center"/>
              <w:rPr>
                <w:spacing w:val="-5"/>
                <w:lang w:eastAsia="en-US"/>
              </w:rPr>
            </w:pPr>
            <w:r w:rsidRPr="00163139">
              <w:rPr>
                <w:b/>
                <w:spacing w:val="-5"/>
                <w:sz w:val="17"/>
                <w:lang w:eastAsia="en-US"/>
              </w:rPr>
              <w:t>Total</w:t>
            </w:r>
          </w:p>
          <w:p w14:paraId="340B1310" w14:textId="77777777" w:rsidR="00163139" w:rsidRPr="00163139" w:rsidRDefault="00163139" w:rsidP="00163139">
            <w:pPr>
              <w:spacing w:line="259" w:lineRule="auto"/>
              <w:ind w:left="9"/>
              <w:jc w:val="center"/>
              <w:rPr>
                <w:spacing w:val="-5"/>
                <w:lang w:eastAsia="en-US"/>
              </w:rPr>
            </w:pPr>
            <w:r w:rsidRPr="00163139">
              <w:rPr>
                <w:b/>
                <w:spacing w:val="-5"/>
                <w:sz w:val="17"/>
                <w:lang w:eastAsia="en-US"/>
              </w:rPr>
              <w:t>Exposure £m</w:t>
            </w:r>
          </w:p>
        </w:tc>
        <w:tc>
          <w:tcPr>
            <w:tcW w:w="1101" w:type="dxa"/>
            <w:tcBorders>
              <w:top w:val="single" w:sz="8" w:space="0" w:color="000000"/>
              <w:left w:val="single" w:sz="8" w:space="0" w:color="000000"/>
              <w:bottom w:val="single" w:sz="8" w:space="0" w:color="000000"/>
              <w:right w:val="single" w:sz="8" w:space="0" w:color="000000"/>
            </w:tcBorders>
          </w:tcPr>
          <w:p w14:paraId="27E70AB4" w14:textId="77777777" w:rsidR="00163139" w:rsidRPr="00163139" w:rsidRDefault="00163139" w:rsidP="00163139">
            <w:pPr>
              <w:spacing w:after="12" w:line="259" w:lineRule="auto"/>
              <w:ind w:left="73"/>
              <w:jc w:val="center"/>
              <w:rPr>
                <w:spacing w:val="-5"/>
                <w:lang w:eastAsia="en-US"/>
              </w:rPr>
            </w:pPr>
            <w:r w:rsidRPr="00163139">
              <w:rPr>
                <w:b/>
                <w:spacing w:val="-5"/>
                <w:sz w:val="17"/>
                <w:lang w:eastAsia="en-US"/>
              </w:rPr>
              <w:t>Time</w:t>
            </w:r>
          </w:p>
          <w:p w14:paraId="65927694" w14:textId="77777777" w:rsidR="00163139" w:rsidRPr="00163139" w:rsidRDefault="00163139" w:rsidP="00163139">
            <w:pPr>
              <w:spacing w:line="259" w:lineRule="auto"/>
              <w:ind w:left="73"/>
              <w:jc w:val="center"/>
              <w:rPr>
                <w:spacing w:val="-5"/>
                <w:lang w:eastAsia="en-US"/>
              </w:rPr>
            </w:pPr>
            <w:r w:rsidRPr="00163139">
              <w:rPr>
                <w:b/>
                <w:spacing w:val="-5"/>
                <w:sz w:val="17"/>
                <w:lang w:eastAsia="en-US"/>
              </w:rPr>
              <w:t>Limit *</w:t>
            </w:r>
          </w:p>
        </w:tc>
        <w:tc>
          <w:tcPr>
            <w:tcW w:w="1101" w:type="dxa"/>
            <w:tcBorders>
              <w:top w:val="single" w:sz="8" w:space="0" w:color="000000"/>
              <w:left w:val="single" w:sz="8" w:space="0" w:color="000000"/>
              <w:bottom w:val="single" w:sz="8" w:space="0" w:color="000000"/>
              <w:right w:val="single" w:sz="8" w:space="0" w:color="000000"/>
            </w:tcBorders>
          </w:tcPr>
          <w:p w14:paraId="3EDBE7C7" w14:textId="77777777" w:rsidR="00163139" w:rsidRPr="00163139" w:rsidRDefault="00163139" w:rsidP="00163139">
            <w:pPr>
              <w:spacing w:after="12" w:line="259" w:lineRule="auto"/>
              <w:ind w:left="23"/>
              <w:jc w:val="center"/>
              <w:rPr>
                <w:spacing w:val="-5"/>
                <w:lang w:eastAsia="en-US"/>
              </w:rPr>
            </w:pPr>
            <w:r w:rsidRPr="00163139">
              <w:rPr>
                <w:b/>
                <w:spacing w:val="-5"/>
                <w:sz w:val="17"/>
                <w:lang w:eastAsia="en-US"/>
              </w:rPr>
              <w:t xml:space="preserve">Total </w:t>
            </w:r>
          </w:p>
          <w:p w14:paraId="1557993C" w14:textId="77777777" w:rsidR="00163139" w:rsidRPr="00163139" w:rsidRDefault="00163139" w:rsidP="00163139">
            <w:pPr>
              <w:spacing w:line="259" w:lineRule="auto"/>
              <w:ind w:left="9"/>
              <w:jc w:val="center"/>
              <w:rPr>
                <w:spacing w:val="-5"/>
                <w:lang w:eastAsia="en-US"/>
              </w:rPr>
            </w:pPr>
            <w:r w:rsidRPr="00163139">
              <w:rPr>
                <w:b/>
                <w:spacing w:val="-5"/>
                <w:sz w:val="17"/>
                <w:lang w:eastAsia="en-US"/>
              </w:rPr>
              <w:t>Exposure £m</w:t>
            </w:r>
          </w:p>
        </w:tc>
        <w:tc>
          <w:tcPr>
            <w:tcW w:w="1101" w:type="dxa"/>
            <w:tcBorders>
              <w:top w:val="single" w:sz="8" w:space="0" w:color="000000"/>
              <w:left w:val="single" w:sz="8" w:space="0" w:color="000000"/>
              <w:bottom w:val="single" w:sz="8" w:space="0" w:color="000000"/>
              <w:right w:val="single" w:sz="8" w:space="0" w:color="000000"/>
            </w:tcBorders>
          </w:tcPr>
          <w:p w14:paraId="5C9E4167" w14:textId="77777777" w:rsidR="00163139" w:rsidRPr="00163139" w:rsidRDefault="00163139" w:rsidP="00163139">
            <w:pPr>
              <w:spacing w:after="12" w:line="259" w:lineRule="auto"/>
              <w:ind w:left="74"/>
              <w:jc w:val="center"/>
              <w:rPr>
                <w:spacing w:val="-5"/>
                <w:lang w:eastAsia="en-US"/>
              </w:rPr>
            </w:pPr>
            <w:r w:rsidRPr="00163139">
              <w:rPr>
                <w:b/>
                <w:spacing w:val="-5"/>
                <w:sz w:val="17"/>
                <w:lang w:eastAsia="en-US"/>
              </w:rPr>
              <w:t>Time</w:t>
            </w:r>
          </w:p>
          <w:p w14:paraId="3E3FE582" w14:textId="77777777" w:rsidR="00163139" w:rsidRPr="00163139" w:rsidRDefault="00163139" w:rsidP="00163139">
            <w:pPr>
              <w:spacing w:line="259" w:lineRule="auto"/>
              <w:ind w:left="73"/>
              <w:jc w:val="center"/>
              <w:rPr>
                <w:spacing w:val="-5"/>
                <w:lang w:eastAsia="en-US"/>
              </w:rPr>
            </w:pPr>
            <w:r w:rsidRPr="00163139">
              <w:rPr>
                <w:b/>
                <w:spacing w:val="-5"/>
                <w:sz w:val="17"/>
                <w:lang w:eastAsia="en-US"/>
              </w:rPr>
              <w:t>Limit *</w:t>
            </w:r>
          </w:p>
        </w:tc>
      </w:tr>
      <w:tr w:rsidR="00163139" w:rsidRPr="00163139" w14:paraId="38BB28DD" w14:textId="77777777" w:rsidTr="0061569A">
        <w:trPr>
          <w:trHeight w:val="251"/>
        </w:trPr>
        <w:tc>
          <w:tcPr>
            <w:tcW w:w="10392" w:type="dxa"/>
            <w:gridSpan w:val="6"/>
            <w:tcBorders>
              <w:top w:val="single" w:sz="8" w:space="0" w:color="000000"/>
              <w:left w:val="single" w:sz="8" w:space="0" w:color="000000"/>
              <w:bottom w:val="single" w:sz="8" w:space="0" w:color="000000"/>
              <w:right w:val="single" w:sz="8" w:space="0" w:color="000000"/>
            </w:tcBorders>
          </w:tcPr>
          <w:p w14:paraId="297CEDCA" w14:textId="77777777" w:rsidR="00163139" w:rsidRPr="00163139" w:rsidRDefault="00163139" w:rsidP="00163139">
            <w:pPr>
              <w:spacing w:line="259" w:lineRule="auto"/>
              <w:rPr>
                <w:spacing w:val="-5"/>
                <w:lang w:eastAsia="en-US"/>
              </w:rPr>
            </w:pPr>
            <w:r w:rsidRPr="00163139">
              <w:rPr>
                <w:b/>
                <w:spacing w:val="-5"/>
                <w:sz w:val="21"/>
                <w:lang w:eastAsia="en-US"/>
              </w:rPr>
              <w:t>UK "Nationalised" banks / UK banks with UK Central Government involvement</w:t>
            </w:r>
          </w:p>
        </w:tc>
      </w:tr>
      <w:tr w:rsidR="00163139" w:rsidRPr="00163139" w14:paraId="699AC7B7" w14:textId="77777777" w:rsidTr="0061569A">
        <w:trPr>
          <w:trHeight w:val="260"/>
        </w:trPr>
        <w:tc>
          <w:tcPr>
            <w:tcW w:w="4818" w:type="dxa"/>
            <w:tcBorders>
              <w:top w:val="single" w:sz="8" w:space="0" w:color="000000"/>
              <w:left w:val="single" w:sz="8" w:space="0" w:color="000000"/>
              <w:bottom w:val="single" w:sz="8" w:space="0" w:color="000000"/>
              <w:right w:val="single" w:sz="8" w:space="0" w:color="000000"/>
            </w:tcBorders>
          </w:tcPr>
          <w:p w14:paraId="7F1B6EE3" w14:textId="77777777" w:rsidR="00163139" w:rsidRPr="00163139" w:rsidRDefault="00163139" w:rsidP="00163139">
            <w:pPr>
              <w:spacing w:line="259" w:lineRule="auto"/>
              <w:rPr>
                <w:spacing w:val="-5"/>
                <w:lang w:eastAsia="en-US"/>
              </w:rPr>
            </w:pPr>
            <w:r w:rsidRPr="00163139">
              <w:rPr>
                <w:spacing w:val="-5"/>
                <w:sz w:val="21"/>
                <w:lang w:eastAsia="en-US"/>
              </w:rPr>
              <w:t>Royal Bank of Scotland PLC (RFB)</w:t>
            </w:r>
          </w:p>
        </w:tc>
        <w:tc>
          <w:tcPr>
            <w:tcW w:w="1168" w:type="dxa"/>
            <w:tcBorders>
              <w:top w:val="single" w:sz="8" w:space="0" w:color="000000"/>
              <w:left w:val="single" w:sz="8" w:space="0" w:color="000000"/>
              <w:bottom w:val="single" w:sz="8" w:space="0" w:color="000000"/>
              <w:right w:val="single" w:sz="8" w:space="0" w:color="000000"/>
            </w:tcBorders>
          </w:tcPr>
          <w:p w14:paraId="5A79FB0A" w14:textId="77777777" w:rsidR="00163139" w:rsidRPr="00163139" w:rsidRDefault="00163139" w:rsidP="00163139">
            <w:pPr>
              <w:spacing w:line="259" w:lineRule="auto"/>
              <w:ind w:left="85"/>
              <w:jc w:val="center"/>
              <w:rPr>
                <w:spacing w:val="-5"/>
                <w:lang w:eastAsia="en-US"/>
              </w:rPr>
            </w:pPr>
            <w:r w:rsidRPr="00163139">
              <w:rPr>
                <w:spacing w:val="-5"/>
                <w:sz w:val="21"/>
                <w:lang w:eastAsia="en-US"/>
              </w:rPr>
              <w:t>GBR</w:t>
            </w:r>
          </w:p>
        </w:tc>
        <w:tc>
          <w:tcPr>
            <w:tcW w:w="1102" w:type="dxa"/>
            <w:vMerge w:val="restart"/>
            <w:tcBorders>
              <w:top w:val="single" w:sz="8" w:space="0" w:color="000000"/>
              <w:left w:val="single" w:sz="8" w:space="0" w:color="000000"/>
              <w:bottom w:val="single" w:sz="8" w:space="0" w:color="000000"/>
              <w:right w:val="single" w:sz="8" w:space="0" w:color="000000"/>
            </w:tcBorders>
            <w:vAlign w:val="center"/>
          </w:tcPr>
          <w:p w14:paraId="14A0A326" w14:textId="77777777" w:rsidR="00163139" w:rsidRPr="00163139" w:rsidRDefault="00163139" w:rsidP="00163139">
            <w:pPr>
              <w:spacing w:line="259" w:lineRule="auto"/>
              <w:ind w:left="85"/>
              <w:jc w:val="center"/>
              <w:rPr>
                <w:spacing w:val="-5"/>
                <w:lang w:eastAsia="en-US"/>
              </w:rPr>
            </w:pPr>
            <w:r w:rsidRPr="00163139">
              <w:rPr>
                <w:spacing w:val="-5"/>
                <w:sz w:val="21"/>
                <w:lang w:eastAsia="en-US"/>
              </w:rPr>
              <w:t>90.0</w:t>
            </w:r>
          </w:p>
        </w:tc>
        <w:tc>
          <w:tcPr>
            <w:tcW w:w="1101" w:type="dxa"/>
            <w:vMerge w:val="restart"/>
            <w:tcBorders>
              <w:top w:val="single" w:sz="8" w:space="0" w:color="000000"/>
              <w:left w:val="single" w:sz="8" w:space="0" w:color="000000"/>
              <w:bottom w:val="single" w:sz="8" w:space="0" w:color="000000"/>
              <w:right w:val="single" w:sz="8" w:space="0" w:color="000000"/>
            </w:tcBorders>
            <w:vAlign w:val="center"/>
          </w:tcPr>
          <w:p w14:paraId="719FAD96" w14:textId="77777777" w:rsidR="00163139" w:rsidRPr="00163139" w:rsidRDefault="00163139" w:rsidP="00163139">
            <w:pPr>
              <w:spacing w:line="259" w:lineRule="auto"/>
              <w:ind w:left="104"/>
              <w:rPr>
                <w:spacing w:val="-5"/>
                <w:lang w:eastAsia="en-US"/>
              </w:rPr>
            </w:pPr>
            <w:r w:rsidRPr="00163139">
              <w:rPr>
                <w:spacing w:val="-5"/>
                <w:sz w:val="21"/>
                <w:lang w:eastAsia="en-US"/>
              </w:rPr>
              <w:t>365 days</w:t>
            </w:r>
          </w:p>
        </w:tc>
        <w:tc>
          <w:tcPr>
            <w:tcW w:w="1101" w:type="dxa"/>
            <w:vMerge w:val="restart"/>
            <w:tcBorders>
              <w:top w:val="single" w:sz="8" w:space="0" w:color="000000"/>
              <w:left w:val="single" w:sz="8" w:space="0" w:color="000000"/>
              <w:bottom w:val="single" w:sz="8" w:space="0" w:color="000000"/>
              <w:right w:val="single" w:sz="8" w:space="0" w:color="000000"/>
            </w:tcBorders>
            <w:vAlign w:val="center"/>
          </w:tcPr>
          <w:p w14:paraId="15D349F5" w14:textId="77777777" w:rsidR="00163139" w:rsidRPr="00163139" w:rsidRDefault="00163139" w:rsidP="00163139">
            <w:pPr>
              <w:spacing w:line="259" w:lineRule="auto"/>
              <w:ind w:left="88"/>
              <w:jc w:val="center"/>
              <w:rPr>
                <w:spacing w:val="-5"/>
                <w:lang w:eastAsia="en-US"/>
              </w:rPr>
            </w:pPr>
            <w:r w:rsidRPr="00163139">
              <w:rPr>
                <w:spacing w:val="-5"/>
                <w:sz w:val="21"/>
                <w:lang w:eastAsia="en-US"/>
              </w:rPr>
              <w:t>-</w:t>
            </w:r>
          </w:p>
        </w:tc>
        <w:tc>
          <w:tcPr>
            <w:tcW w:w="1101" w:type="dxa"/>
            <w:vMerge w:val="restart"/>
            <w:tcBorders>
              <w:top w:val="single" w:sz="8" w:space="0" w:color="000000"/>
              <w:left w:val="single" w:sz="8" w:space="0" w:color="000000"/>
              <w:bottom w:val="single" w:sz="8" w:space="0" w:color="000000"/>
              <w:right w:val="single" w:sz="8" w:space="0" w:color="000000"/>
            </w:tcBorders>
            <w:vAlign w:val="center"/>
          </w:tcPr>
          <w:p w14:paraId="65C8F639" w14:textId="77777777" w:rsidR="00163139" w:rsidRPr="00163139" w:rsidRDefault="00163139" w:rsidP="00163139">
            <w:pPr>
              <w:spacing w:line="259" w:lineRule="auto"/>
              <w:ind w:left="87"/>
              <w:jc w:val="center"/>
              <w:rPr>
                <w:spacing w:val="-5"/>
                <w:lang w:eastAsia="en-US"/>
              </w:rPr>
            </w:pPr>
            <w:r w:rsidRPr="00163139">
              <w:rPr>
                <w:spacing w:val="-5"/>
                <w:sz w:val="21"/>
                <w:lang w:eastAsia="en-US"/>
              </w:rPr>
              <w:t>-</w:t>
            </w:r>
          </w:p>
        </w:tc>
      </w:tr>
      <w:tr w:rsidR="00163139" w:rsidRPr="00163139" w14:paraId="4026A153" w14:textId="77777777" w:rsidTr="0061569A">
        <w:trPr>
          <w:trHeight w:val="260"/>
        </w:trPr>
        <w:tc>
          <w:tcPr>
            <w:tcW w:w="4818" w:type="dxa"/>
            <w:tcBorders>
              <w:top w:val="single" w:sz="8" w:space="0" w:color="000000"/>
              <w:left w:val="single" w:sz="8" w:space="0" w:color="000000"/>
              <w:bottom w:val="single" w:sz="8" w:space="0" w:color="000000"/>
              <w:right w:val="single" w:sz="8" w:space="0" w:color="000000"/>
            </w:tcBorders>
          </w:tcPr>
          <w:p w14:paraId="71EC9D9B" w14:textId="77777777" w:rsidR="00163139" w:rsidRPr="00163139" w:rsidRDefault="00163139" w:rsidP="00163139">
            <w:pPr>
              <w:spacing w:line="259" w:lineRule="auto"/>
              <w:rPr>
                <w:spacing w:val="-5"/>
                <w:lang w:eastAsia="en-US"/>
              </w:rPr>
            </w:pPr>
            <w:r w:rsidRPr="00163139">
              <w:rPr>
                <w:spacing w:val="-5"/>
                <w:sz w:val="21"/>
                <w:lang w:eastAsia="en-US"/>
              </w:rPr>
              <w:t>National Westminster Bank PLC (RFB)</w:t>
            </w:r>
          </w:p>
        </w:tc>
        <w:tc>
          <w:tcPr>
            <w:tcW w:w="1168" w:type="dxa"/>
            <w:tcBorders>
              <w:top w:val="single" w:sz="8" w:space="0" w:color="000000"/>
              <w:left w:val="single" w:sz="8" w:space="0" w:color="000000"/>
              <w:bottom w:val="single" w:sz="8" w:space="0" w:color="000000"/>
              <w:right w:val="single" w:sz="8" w:space="0" w:color="000000"/>
            </w:tcBorders>
          </w:tcPr>
          <w:p w14:paraId="1D673341" w14:textId="77777777" w:rsidR="00163139" w:rsidRPr="00163139" w:rsidRDefault="00163139" w:rsidP="00163139">
            <w:pPr>
              <w:spacing w:line="259" w:lineRule="auto"/>
              <w:ind w:left="85"/>
              <w:jc w:val="center"/>
              <w:rPr>
                <w:spacing w:val="-5"/>
                <w:lang w:eastAsia="en-US"/>
              </w:rPr>
            </w:pPr>
            <w:r w:rsidRPr="00163139">
              <w:rPr>
                <w:spacing w:val="-5"/>
                <w:sz w:val="21"/>
                <w:lang w:eastAsia="en-US"/>
              </w:rPr>
              <w:t>GBR</w:t>
            </w:r>
          </w:p>
        </w:tc>
        <w:tc>
          <w:tcPr>
            <w:tcW w:w="0" w:type="auto"/>
            <w:vMerge/>
            <w:tcBorders>
              <w:top w:val="nil"/>
              <w:left w:val="single" w:sz="8" w:space="0" w:color="000000"/>
              <w:bottom w:val="single" w:sz="8" w:space="0" w:color="000000"/>
              <w:right w:val="single" w:sz="8" w:space="0" w:color="000000"/>
            </w:tcBorders>
          </w:tcPr>
          <w:p w14:paraId="1B26067A" w14:textId="77777777" w:rsidR="00163139" w:rsidRPr="00163139" w:rsidRDefault="00163139" w:rsidP="00163139">
            <w:pPr>
              <w:spacing w:after="160" w:line="259" w:lineRule="auto"/>
              <w:rPr>
                <w:spacing w:val="-5"/>
                <w:lang w:eastAsia="en-US"/>
              </w:rPr>
            </w:pPr>
          </w:p>
        </w:tc>
        <w:tc>
          <w:tcPr>
            <w:tcW w:w="0" w:type="auto"/>
            <w:vMerge/>
            <w:tcBorders>
              <w:top w:val="nil"/>
              <w:left w:val="single" w:sz="8" w:space="0" w:color="000000"/>
              <w:bottom w:val="single" w:sz="8" w:space="0" w:color="000000"/>
              <w:right w:val="single" w:sz="8" w:space="0" w:color="000000"/>
            </w:tcBorders>
          </w:tcPr>
          <w:p w14:paraId="1CD34333" w14:textId="77777777" w:rsidR="00163139" w:rsidRPr="00163139" w:rsidRDefault="00163139" w:rsidP="00163139">
            <w:pPr>
              <w:spacing w:after="160" w:line="259" w:lineRule="auto"/>
              <w:rPr>
                <w:spacing w:val="-5"/>
                <w:lang w:eastAsia="en-US"/>
              </w:rPr>
            </w:pPr>
          </w:p>
        </w:tc>
        <w:tc>
          <w:tcPr>
            <w:tcW w:w="0" w:type="auto"/>
            <w:vMerge/>
            <w:tcBorders>
              <w:top w:val="nil"/>
              <w:left w:val="single" w:sz="8" w:space="0" w:color="000000"/>
              <w:bottom w:val="single" w:sz="8" w:space="0" w:color="000000"/>
              <w:right w:val="single" w:sz="8" w:space="0" w:color="000000"/>
            </w:tcBorders>
          </w:tcPr>
          <w:p w14:paraId="6FC5BCF0" w14:textId="77777777" w:rsidR="00163139" w:rsidRPr="00163139" w:rsidRDefault="00163139" w:rsidP="00163139">
            <w:pPr>
              <w:spacing w:after="160" w:line="259" w:lineRule="auto"/>
              <w:rPr>
                <w:spacing w:val="-5"/>
                <w:lang w:eastAsia="en-US"/>
              </w:rPr>
            </w:pPr>
          </w:p>
        </w:tc>
        <w:tc>
          <w:tcPr>
            <w:tcW w:w="0" w:type="auto"/>
            <w:vMerge/>
            <w:tcBorders>
              <w:top w:val="nil"/>
              <w:left w:val="single" w:sz="8" w:space="0" w:color="000000"/>
              <w:bottom w:val="single" w:sz="8" w:space="0" w:color="000000"/>
              <w:right w:val="single" w:sz="8" w:space="0" w:color="000000"/>
            </w:tcBorders>
          </w:tcPr>
          <w:p w14:paraId="0FEE32FC" w14:textId="77777777" w:rsidR="00163139" w:rsidRPr="00163139" w:rsidRDefault="00163139" w:rsidP="00163139">
            <w:pPr>
              <w:spacing w:after="160" w:line="259" w:lineRule="auto"/>
              <w:rPr>
                <w:spacing w:val="-5"/>
                <w:lang w:eastAsia="en-US"/>
              </w:rPr>
            </w:pPr>
          </w:p>
        </w:tc>
      </w:tr>
      <w:tr w:rsidR="00163139" w:rsidRPr="00163139" w14:paraId="339E1026" w14:textId="77777777" w:rsidTr="0061569A">
        <w:trPr>
          <w:trHeight w:val="251"/>
        </w:trPr>
        <w:tc>
          <w:tcPr>
            <w:tcW w:w="10392" w:type="dxa"/>
            <w:gridSpan w:val="6"/>
            <w:tcBorders>
              <w:top w:val="single" w:sz="8" w:space="0" w:color="000000"/>
              <w:left w:val="single" w:sz="8" w:space="0" w:color="000000"/>
              <w:bottom w:val="single" w:sz="8" w:space="0" w:color="000000"/>
              <w:right w:val="single" w:sz="8" w:space="0" w:color="000000"/>
            </w:tcBorders>
          </w:tcPr>
          <w:p w14:paraId="2507B456" w14:textId="77777777" w:rsidR="00163139" w:rsidRPr="00163139" w:rsidRDefault="00163139" w:rsidP="00163139">
            <w:pPr>
              <w:spacing w:line="259" w:lineRule="auto"/>
              <w:rPr>
                <w:spacing w:val="-5"/>
                <w:lang w:eastAsia="en-US"/>
              </w:rPr>
            </w:pPr>
            <w:r w:rsidRPr="00163139">
              <w:rPr>
                <w:b/>
                <w:spacing w:val="-5"/>
                <w:sz w:val="21"/>
                <w:lang w:eastAsia="en-US"/>
              </w:rPr>
              <w:t>UK "Clearing Banks", other UK based banks and Building Societies</w:t>
            </w:r>
          </w:p>
        </w:tc>
      </w:tr>
      <w:tr w:rsidR="00163139" w:rsidRPr="00163139" w14:paraId="05C7B683" w14:textId="77777777" w:rsidTr="0061569A">
        <w:trPr>
          <w:trHeight w:val="253"/>
        </w:trPr>
        <w:tc>
          <w:tcPr>
            <w:tcW w:w="4818" w:type="dxa"/>
            <w:tcBorders>
              <w:top w:val="single" w:sz="8" w:space="0" w:color="000000"/>
              <w:left w:val="single" w:sz="8" w:space="0" w:color="000000"/>
              <w:bottom w:val="single" w:sz="8" w:space="0" w:color="000000"/>
              <w:right w:val="single" w:sz="8" w:space="0" w:color="000000"/>
            </w:tcBorders>
          </w:tcPr>
          <w:p w14:paraId="51DE5187" w14:textId="77777777" w:rsidR="00163139" w:rsidRPr="00163139" w:rsidRDefault="00163139" w:rsidP="00163139">
            <w:pPr>
              <w:spacing w:line="259" w:lineRule="auto"/>
              <w:rPr>
                <w:spacing w:val="-5"/>
                <w:lang w:eastAsia="en-US"/>
              </w:rPr>
            </w:pPr>
            <w:r w:rsidRPr="00163139">
              <w:rPr>
                <w:spacing w:val="-5"/>
                <w:sz w:val="21"/>
                <w:lang w:eastAsia="en-US"/>
              </w:rPr>
              <w:t>Santander UK PLC (includes Cater Allen)</w:t>
            </w:r>
          </w:p>
        </w:tc>
        <w:tc>
          <w:tcPr>
            <w:tcW w:w="1168" w:type="dxa"/>
            <w:tcBorders>
              <w:top w:val="single" w:sz="8" w:space="0" w:color="000000"/>
              <w:left w:val="single" w:sz="8" w:space="0" w:color="000000"/>
              <w:bottom w:val="single" w:sz="8" w:space="0" w:color="000000"/>
              <w:right w:val="single" w:sz="8" w:space="0" w:color="000000"/>
            </w:tcBorders>
          </w:tcPr>
          <w:p w14:paraId="58EA8C12" w14:textId="77777777" w:rsidR="00163139" w:rsidRPr="00163139" w:rsidRDefault="00163139" w:rsidP="00163139">
            <w:pPr>
              <w:spacing w:line="259" w:lineRule="auto"/>
              <w:ind w:left="85"/>
              <w:jc w:val="center"/>
              <w:rPr>
                <w:spacing w:val="-5"/>
                <w:lang w:eastAsia="en-US"/>
              </w:rPr>
            </w:pPr>
            <w:r w:rsidRPr="00163139">
              <w:rPr>
                <w:spacing w:val="-5"/>
                <w:sz w:val="21"/>
                <w:lang w:eastAsia="en-US"/>
              </w:rPr>
              <w:t>GBR</w:t>
            </w:r>
          </w:p>
        </w:tc>
        <w:tc>
          <w:tcPr>
            <w:tcW w:w="1102" w:type="dxa"/>
            <w:tcBorders>
              <w:top w:val="single" w:sz="8" w:space="0" w:color="000000"/>
              <w:left w:val="single" w:sz="8" w:space="0" w:color="000000"/>
              <w:bottom w:val="single" w:sz="8" w:space="0" w:color="000000"/>
              <w:right w:val="single" w:sz="8" w:space="0" w:color="000000"/>
            </w:tcBorders>
          </w:tcPr>
          <w:p w14:paraId="390C7B30" w14:textId="77777777" w:rsidR="00163139" w:rsidRPr="00163139" w:rsidRDefault="00163139" w:rsidP="00163139">
            <w:pPr>
              <w:spacing w:line="259" w:lineRule="auto"/>
              <w:ind w:left="85"/>
              <w:jc w:val="center"/>
              <w:rPr>
                <w:spacing w:val="-5"/>
                <w:lang w:eastAsia="en-US"/>
              </w:rPr>
            </w:pPr>
            <w:r w:rsidRPr="00163139">
              <w:rPr>
                <w:spacing w:val="-5"/>
                <w:sz w:val="21"/>
                <w:lang w:eastAsia="en-US"/>
              </w:rPr>
              <w:t>80.0</w:t>
            </w:r>
          </w:p>
        </w:tc>
        <w:tc>
          <w:tcPr>
            <w:tcW w:w="1101" w:type="dxa"/>
            <w:tcBorders>
              <w:top w:val="single" w:sz="8" w:space="0" w:color="000000"/>
              <w:left w:val="single" w:sz="8" w:space="0" w:color="000000"/>
              <w:bottom w:val="single" w:sz="8" w:space="0" w:color="000000"/>
              <w:right w:val="single" w:sz="8" w:space="0" w:color="000000"/>
            </w:tcBorders>
          </w:tcPr>
          <w:p w14:paraId="2EDEA273" w14:textId="77777777" w:rsidR="00163139" w:rsidRPr="00163139" w:rsidRDefault="00163139" w:rsidP="00163139">
            <w:pPr>
              <w:spacing w:line="259" w:lineRule="auto"/>
              <w:ind w:left="91"/>
              <w:rPr>
                <w:spacing w:val="-5"/>
                <w:lang w:eastAsia="en-US"/>
              </w:rPr>
            </w:pPr>
            <w:r w:rsidRPr="00163139">
              <w:rPr>
                <w:spacing w:val="-5"/>
                <w:sz w:val="21"/>
                <w:lang w:eastAsia="en-US"/>
              </w:rPr>
              <w:t>6 months</w:t>
            </w:r>
          </w:p>
        </w:tc>
        <w:tc>
          <w:tcPr>
            <w:tcW w:w="1101" w:type="dxa"/>
            <w:tcBorders>
              <w:top w:val="single" w:sz="8" w:space="0" w:color="000000"/>
              <w:left w:val="single" w:sz="8" w:space="0" w:color="000000"/>
              <w:bottom w:val="single" w:sz="8" w:space="0" w:color="000000"/>
              <w:right w:val="single" w:sz="8" w:space="0" w:color="000000"/>
            </w:tcBorders>
          </w:tcPr>
          <w:p w14:paraId="2E0AF098" w14:textId="77777777" w:rsidR="00163139" w:rsidRPr="00163139" w:rsidRDefault="00163139" w:rsidP="00163139">
            <w:pPr>
              <w:spacing w:line="259" w:lineRule="auto"/>
              <w:ind w:left="88"/>
              <w:jc w:val="center"/>
              <w:rPr>
                <w:spacing w:val="-5"/>
                <w:lang w:eastAsia="en-US"/>
              </w:rPr>
            </w:pPr>
            <w:r w:rsidRPr="00163139">
              <w:rPr>
                <w:spacing w:val="-5"/>
                <w:sz w:val="21"/>
                <w:lang w:eastAsia="en-US"/>
              </w:rPr>
              <w:t>-</w:t>
            </w:r>
          </w:p>
        </w:tc>
        <w:tc>
          <w:tcPr>
            <w:tcW w:w="1101" w:type="dxa"/>
            <w:tcBorders>
              <w:top w:val="single" w:sz="8" w:space="0" w:color="000000"/>
              <w:left w:val="single" w:sz="8" w:space="0" w:color="000000"/>
              <w:bottom w:val="single" w:sz="8" w:space="0" w:color="000000"/>
              <w:right w:val="single" w:sz="8" w:space="0" w:color="000000"/>
            </w:tcBorders>
          </w:tcPr>
          <w:p w14:paraId="74BCB063" w14:textId="77777777" w:rsidR="00163139" w:rsidRPr="00163139" w:rsidRDefault="00163139" w:rsidP="00163139">
            <w:pPr>
              <w:spacing w:line="259" w:lineRule="auto"/>
              <w:ind w:left="87"/>
              <w:jc w:val="center"/>
              <w:rPr>
                <w:spacing w:val="-5"/>
                <w:lang w:eastAsia="en-US"/>
              </w:rPr>
            </w:pPr>
            <w:r w:rsidRPr="00163139">
              <w:rPr>
                <w:spacing w:val="-5"/>
                <w:sz w:val="21"/>
                <w:lang w:eastAsia="en-US"/>
              </w:rPr>
              <w:t>-</w:t>
            </w:r>
          </w:p>
        </w:tc>
      </w:tr>
      <w:tr w:rsidR="00163139" w:rsidRPr="00163139" w14:paraId="20580777" w14:textId="77777777" w:rsidTr="0061569A">
        <w:trPr>
          <w:trHeight w:val="253"/>
        </w:trPr>
        <w:tc>
          <w:tcPr>
            <w:tcW w:w="4818" w:type="dxa"/>
            <w:tcBorders>
              <w:top w:val="single" w:sz="8" w:space="0" w:color="000000"/>
              <w:left w:val="single" w:sz="8" w:space="0" w:color="000000"/>
              <w:bottom w:val="single" w:sz="8" w:space="0" w:color="000000"/>
              <w:right w:val="single" w:sz="8" w:space="0" w:color="000000"/>
            </w:tcBorders>
          </w:tcPr>
          <w:p w14:paraId="59B16C78" w14:textId="77777777" w:rsidR="00163139" w:rsidRPr="00163139" w:rsidRDefault="00163139" w:rsidP="00163139">
            <w:pPr>
              <w:spacing w:line="259" w:lineRule="auto"/>
              <w:rPr>
                <w:spacing w:val="-5"/>
                <w:lang w:eastAsia="en-US"/>
              </w:rPr>
            </w:pPr>
            <w:r w:rsidRPr="00163139">
              <w:rPr>
                <w:spacing w:val="-5"/>
                <w:sz w:val="21"/>
                <w:lang w:eastAsia="en-US"/>
              </w:rPr>
              <w:t>Barclays Bank PLC (NRFB)</w:t>
            </w:r>
          </w:p>
        </w:tc>
        <w:tc>
          <w:tcPr>
            <w:tcW w:w="1168" w:type="dxa"/>
            <w:tcBorders>
              <w:top w:val="single" w:sz="8" w:space="0" w:color="000000"/>
              <w:left w:val="single" w:sz="8" w:space="0" w:color="000000"/>
              <w:bottom w:val="single" w:sz="8" w:space="0" w:color="000000"/>
              <w:right w:val="single" w:sz="8" w:space="0" w:color="000000"/>
            </w:tcBorders>
          </w:tcPr>
          <w:p w14:paraId="069B303B" w14:textId="77777777" w:rsidR="00163139" w:rsidRPr="00163139" w:rsidRDefault="00163139" w:rsidP="00163139">
            <w:pPr>
              <w:spacing w:line="259" w:lineRule="auto"/>
              <w:ind w:left="85"/>
              <w:jc w:val="center"/>
              <w:rPr>
                <w:spacing w:val="-5"/>
                <w:lang w:eastAsia="en-US"/>
              </w:rPr>
            </w:pPr>
            <w:r w:rsidRPr="00163139">
              <w:rPr>
                <w:spacing w:val="-5"/>
                <w:sz w:val="21"/>
                <w:lang w:eastAsia="en-US"/>
              </w:rPr>
              <w:t>GBR</w:t>
            </w:r>
          </w:p>
        </w:tc>
        <w:tc>
          <w:tcPr>
            <w:tcW w:w="1102" w:type="dxa"/>
            <w:vMerge w:val="restart"/>
            <w:tcBorders>
              <w:top w:val="single" w:sz="8" w:space="0" w:color="000000"/>
              <w:left w:val="single" w:sz="8" w:space="0" w:color="000000"/>
              <w:bottom w:val="single" w:sz="8" w:space="0" w:color="000000"/>
              <w:right w:val="single" w:sz="8" w:space="0" w:color="000000"/>
            </w:tcBorders>
            <w:vAlign w:val="center"/>
          </w:tcPr>
          <w:p w14:paraId="0A960BD9" w14:textId="77777777" w:rsidR="00163139" w:rsidRPr="00163139" w:rsidRDefault="00163139" w:rsidP="00163139">
            <w:pPr>
              <w:spacing w:line="259" w:lineRule="auto"/>
              <w:ind w:left="85"/>
              <w:jc w:val="center"/>
              <w:rPr>
                <w:spacing w:val="-5"/>
                <w:lang w:eastAsia="en-US"/>
              </w:rPr>
            </w:pPr>
            <w:r w:rsidRPr="00163139">
              <w:rPr>
                <w:spacing w:val="-5"/>
                <w:sz w:val="21"/>
                <w:lang w:eastAsia="en-US"/>
              </w:rPr>
              <w:t>120.0</w:t>
            </w:r>
          </w:p>
        </w:tc>
        <w:tc>
          <w:tcPr>
            <w:tcW w:w="1101" w:type="dxa"/>
            <w:vMerge w:val="restart"/>
            <w:tcBorders>
              <w:top w:val="single" w:sz="8" w:space="0" w:color="000000"/>
              <w:left w:val="single" w:sz="8" w:space="0" w:color="000000"/>
              <w:right w:val="single" w:sz="8" w:space="0" w:color="000000"/>
            </w:tcBorders>
            <w:vAlign w:val="center"/>
          </w:tcPr>
          <w:p w14:paraId="39513117" w14:textId="77777777" w:rsidR="00163139" w:rsidRPr="00163139" w:rsidRDefault="00163139" w:rsidP="00163139">
            <w:pPr>
              <w:spacing w:line="259" w:lineRule="auto"/>
              <w:ind w:left="91"/>
              <w:jc w:val="center"/>
              <w:rPr>
                <w:spacing w:val="-5"/>
                <w:lang w:eastAsia="en-US"/>
              </w:rPr>
            </w:pPr>
            <w:r w:rsidRPr="00163139">
              <w:rPr>
                <w:spacing w:val="-5"/>
                <w:lang w:eastAsia="en-US"/>
              </w:rPr>
              <w:t>6 months</w:t>
            </w:r>
          </w:p>
        </w:tc>
        <w:tc>
          <w:tcPr>
            <w:tcW w:w="1101" w:type="dxa"/>
            <w:vMerge w:val="restart"/>
            <w:tcBorders>
              <w:top w:val="single" w:sz="8" w:space="0" w:color="000000"/>
              <w:left w:val="single" w:sz="8" w:space="0" w:color="000000"/>
              <w:bottom w:val="single" w:sz="8" w:space="0" w:color="000000"/>
              <w:right w:val="single" w:sz="8" w:space="0" w:color="000000"/>
            </w:tcBorders>
            <w:vAlign w:val="center"/>
          </w:tcPr>
          <w:p w14:paraId="7AD50E1A" w14:textId="77777777" w:rsidR="00163139" w:rsidRPr="00163139" w:rsidRDefault="00163139" w:rsidP="00163139">
            <w:pPr>
              <w:spacing w:line="259" w:lineRule="auto"/>
              <w:ind w:left="88"/>
              <w:jc w:val="center"/>
              <w:rPr>
                <w:spacing w:val="-5"/>
                <w:lang w:eastAsia="en-US"/>
              </w:rPr>
            </w:pPr>
            <w:r w:rsidRPr="00163139">
              <w:rPr>
                <w:spacing w:val="-5"/>
                <w:sz w:val="21"/>
                <w:lang w:eastAsia="en-US"/>
              </w:rPr>
              <w:t>-</w:t>
            </w:r>
          </w:p>
        </w:tc>
        <w:tc>
          <w:tcPr>
            <w:tcW w:w="1101" w:type="dxa"/>
            <w:vMerge w:val="restart"/>
            <w:tcBorders>
              <w:top w:val="single" w:sz="8" w:space="0" w:color="000000"/>
              <w:left w:val="single" w:sz="8" w:space="0" w:color="000000"/>
              <w:bottom w:val="single" w:sz="8" w:space="0" w:color="000000"/>
              <w:right w:val="single" w:sz="8" w:space="0" w:color="000000"/>
            </w:tcBorders>
            <w:vAlign w:val="center"/>
          </w:tcPr>
          <w:p w14:paraId="5A8AF7FA" w14:textId="77777777" w:rsidR="00163139" w:rsidRPr="00163139" w:rsidRDefault="00163139" w:rsidP="00163139">
            <w:pPr>
              <w:spacing w:line="259" w:lineRule="auto"/>
              <w:ind w:left="87"/>
              <w:jc w:val="center"/>
              <w:rPr>
                <w:spacing w:val="-5"/>
                <w:lang w:eastAsia="en-US"/>
              </w:rPr>
            </w:pPr>
            <w:r w:rsidRPr="00163139">
              <w:rPr>
                <w:spacing w:val="-5"/>
                <w:sz w:val="21"/>
                <w:lang w:eastAsia="en-US"/>
              </w:rPr>
              <w:t>-</w:t>
            </w:r>
          </w:p>
        </w:tc>
      </w:tr>
      <w:tr w:rsidR="00163139" w:rsidRPr="00163139" w14:paraId="2D754CF2" w14:textId="77777777" w:rsidTr="0061569A">
        <w:trPr>
          <w:trHeight w:val="253"/>
        </w:trPr>
        <w:tc>
          <w:tcPr>
            <w:tcW w:w="4818" w:type="dxa"/>
            <w:tcBorders>
              <w:top w:val="single" w:sz="8" w:space="0" w:color="000000"/>
              <w:left w:val="single" w:sz="8" w:space="0" w:color="000000"/>
              <w:bottom w:val="single" w:sz="8" w:space="0" w:color="000000"/>
              <w:right w:val="single" w:sz="8" w:space="0" w:color="000000"/>
            </w:tcBorders>
          </w:tcPr>
          <w:p w14:paraId="6C232B4E" w14:textId="77777777" w:rsidR="00163139" w:rsidRPr="00163139" w:rsidRDefault="00163139" w:rsidP="00163139">
            <w:pPr>
              <w:spacing w:line="259" w:lineRule="auto"/>
              <w:rPr>
                <w:spacing w:val="-5"/>
                <w:lang w:eastAsia="en-US"/>
              </w:rPr>
            </w:pPr>
            <w:r w:rsidRPr="00163139">
              <w:rPr>
                <w:spacing w:val="-5"/>
                <w:sz w:val="21"/>
                <w:lang w:eastAsia="en-US"/>
              </w:rPr>
              <w:t>Barclays Bank UK PLC (RFB)</w:t>
            </w:r>
          </w:p>
        </w:tc>
        <w:tc>
          <w:tcPr>
            <w:tcW w:w="1168" w:type="dxa"/>
            <w:tcBorders>
              <w:top w:val="single" w:sz="8" w:space="0" w:color="000000"/>
              <w:left w:val="single" w:sz="8" w:space="0" w:color="000000"/>
              <w:bottom w:val="single" w:sz="8" w:space="0" w:color="000000"/>
              <w:right w:val="single" w:sz="8" w:space="0" w:color="000000"/>
            </w:tcBorders>
          </w:tcPr>
          <w:p w14:paraId="1C414FB1" w14:textId="77777777" w:rsidR="00163139" w:rsidRPr="00163139" w:rsidRDefault="00163139" w:rsidP="00163139">
            <w:pPr>
              <w:spacing w:line="259" w:lineRule="auto"/>
              <w:ind w:left="85"/>
              <w:jc w:val="center"/>
              <w:rPr>
                <w:spacing w:val="-5"/>
                <w:lang w:eastAsia="en-US"/>
              </w:rPr>
            </w:pPr>
            <w:r w:rsidRPr="00163139">
              <w:rPr>
                <w:spacing w:val="-5"/>
                <w:sz w:val="21"/>
                <w:lang w:eastAsia="en-US"/>
              </w:rPr>
              <w:t>GBR</w:t>
            </w:r>
          </w:p>
        </w:tc>
        <w:tc>
          <w:tcPr>
            <w:tcW w:w="0" w:type="auto"/>
            <w:vMerge/>
            <w:tcBorders>
              <w:top w:val="nil"/>
              <w:left w:val="single" w:sz="8" w:space="0" w:color="000000"/>
              <w:bottom w:val="single" w:sz="8" w:space="0" w:color="000000"/>
              <w:right w:val="single" w:sz="8" w:space="0" w:color="000000"/>
            </w:tcBorders>
          </w:tcPr>
          <w:p w14:paraId="109AF2A0" w14:textId="77777777" w:rsidR="00163139" w:rsidRPr="00163139" w:rsidRDefault="00163139" w:rsidP="00163139">
            <w:pPr>
              <w:spacing w:after="160" w:line="259" w:lineRule="auto"/>
              <w:rPr>
                <w:spacing w:val="-5"/>
                <w:lang w:eastAsia="en-US"/>
              </w:rPr>
            </w:pPr>
          </w:p>
        </w:tc>
        <w:tc>
          <w:tcPr>
            <w:tcW w:w="1101" w:type="dxa"/>
            <w:vMerge/>
            <w:tcBorders>
              <w:left w:val="single" w:sz="8" w:space="0" w:color="000000"/>
              <w:bottom w:val="single" w:sz="8" w:space="0" w:color="000000"/>
              <w:right w:val="single" w:sz="8" w:space="0" w:color="000000"/>
            </w:tcBorders>
          </w:tcPr>
          <w:p w14:paraId="235A95E1" w14:textId="77777777" w:rsidR="00163139" w:rsidRPr="00163139" w:rsidRDefault="00163139" w:rsidP="00163139">
            <w:pPr>
              <w:spacing w:line="259" w:lineRule="auto"/>
              <w:ind w:left="91"/>
              <w:rPr>
                <w:spacing w:val="-5"/>
                <w:lang w:eastAsia="en-US"/>
              </w:rPr>
            </w:pPr>
          </w:p>
        </w:tc>
        <w:tc>
          <w:tcPr>
            <w:tcW w:w="0" w:type="auto"/>
            <w:vMerge/>
            <w:tcBorders>
              <w:top w:val="nil"/>
              <w:left w:val="single" w:sz="8" w:space="0" w:color="000000"/>
              <w:bottom w:val="single" w:sz="8" w:space="0" w:color="000000"/>
              <w:right w:val="single" w:sz="8" w:space="0" w:color="000000"/>
            </w:tcBorders>
          </w:tcPr>
          <w:p w14:paraId="6534A397" w14:textId="77777777" w:rsidR="00163139" w:rsidRPr="00163139" w:rsidRDefault="00163139" w:rsidP="00163139">
            <w:pPr>
              <w:spacing w:after="160" w:line="259" w:lineRule="auto"/>
              <w:rPr>
                <w:spacing w:val="-5"/>
                <w:lang w:eastAsia="en-US"/>
              </w:rPr>
            </w:pPr>
          </w:p>
        </w:tc>
        <w:tc>
          <w:tcPr>
            <w:tcW w:w="0" w:type="auto"/>
            <w:vMerge/>
            <w:tcBorders>
              <w:top w:val="nil"/>
              <w:left w:val="single" w:sz="8" w:space="0" w:color="000000"/>
              <w:bottom w:val="single" w:sz="8" w:space="0" w:color="000000"/>
              <w:right w:val="single" w:sz="8" w:space="0" w:color="000000"/>
            </w:tcBorders>
          </w:tcPr>
          <w:p w14:paraId="2F74C34E" w14:textId="77777777" w:rsidR="00163139" w:rsidRPr="00163139" w:rsidRDefault="00163139" w:rsidP="00163139">
            <w:pPr>
              <w:spacing w:after="160" w:line="259" w:lineRule="auto"/>
              <w:rPr>
                <w:spacing w:val="-5"/>
                <w:lang w:eastAsia="en-US"/>
              </w:rPr>
            </w:pPr>
          </w:p>
        </w:tc>
      </w:tr>
      <w:tr w:rsidR="00163139" w:rsidRPr="00163139" w14:paraId="6E85A7DB" w14:textId="77777777" w:rsidTr="0061569A">
        <w:trPr>
          <w:trHeight w:val="260"/>
        </w:trPr>
        <w:tc>
          <w:tcPr>
            <w:tcW w:w="4818" w:type="dxa"/>
            <w:tcBorders>
              <w:top w:val="single" w:sz="8" w:space="0" w:color="000000"/>
              <w:left w:val="single" w:sz="8" w:space="0" w:color="000000"/>
              <w:bottom w:val="single" w:sz="8" w:space="0" w:color="000000"/>
              <w:right w:val="single" w:sz="8" w:space="0" w:color="000000"/>
            </w:tcBorders>
          </w:tcPr>
          <w:p w14:paraId="0815AFF1" w14:textId="77777777" w:rsidR="00163139" w:rsidRPr="00163139" w:rsidRDefault="00163139" w:rsidP="00163139">
            <w:pPr>
              <w:spacing w:line="259" w:lineRule="auto"/>
              <w:rPr>
                <w:spacing w:val="-5"/>
                <w:lang w:eastAsia="en-US"/>
              </w:rPr>
            </w:pPr>
            <w:r w:rsidRPr="00163139">
              <w:rPr>
                <w:spacing w:val="-5"/>
                <w:sz w:val="21"/>
                <w:lang w:eastAsia="en-US"/>
              </w:rPr>
              <w:t>Bank of Scotland PLC (RFB)</w:t>
            </w:r>
          </w:p>
        </w:tc>
        <w:tc>
          <w:tcPr>
            <w:tcW w:w="1168" w:type="dxa"/>
            <w:tcBorders>
              <w:top w:val="single" w:sz="8" w:space="0" w:color="000000"/>
              <w:left w:val="single" w:sz="8" w:space="0" w:color="000000"/>
              <w:bottom w:val="single" w:sz="8" w:space="0" w:color="000000"/>
              <w:right w:val="single" w:sz="8" w:space="0" w:color="000000"/>
            </w:tcBorders>
          </w:tcPr>
          <w:p w14:paraId="430B63BA" w14:textId="77777777" w:rsidR="00163139" w:rsidRPr="00163139" w:rsidRDefault="00163139" w:rsidP="00163139">
            <w:pPr>
              <w:spacing w:line="259" w:lineRule="auto"/>
              <w:ind w:left="85"/>
              <w:jc w:val="center"/>
              <w:rPr>
                <w:spacing w:val="-5"/>
                <w:lang w:eastAsia="en-US"/>
              </w:rPr>
            </w:pPr>
            <w:r w:rsidRPr="00163139">
              <w:rPr>
                <w:spacing w:val="-5"/>
                <w:sz w:val="21"/>
                <w:lang w:eastAsia="en-US"/>
              </w:rPr>
              <w:t>GBR</w:t>
            </w:r>
          </w:p>
        </w:tc>
        <w:tc>
          <w:tcPr>
            <w:tcW w:w="1102" w:type="dxa"/>
            <w:vMerge w:val="restart"/>
            <w:tcBorders>
              <w:top w:val="single" w:sz="8" w:space="0" w:color="000000"/>
              <w:left w:val="single" w:sz="8" w:space="0" w:color="000000"/>
              <w:bottom w:val="single" w:sz="8" w:space="0" w:color="000000"/>
              <w:right w:val="single" w:sz="8" w:space="0" w:color="000000"/>
            </w:tcBorders>
            <w:vAlign w:val="center"/>
          </w:tcPr>
          <w:p w14:paraId="26FDB2BC" w14:textId="77777777" w:rsidR="00163139" w:rsidRPr="00163139" w:rsidRDefault="00163139" w:rsidP="00163139">
            <w:pPr>
              <w:spacing w:line="259" w:lineRule="auto"/>
              <w:ind w:left="85"/>
              <w:jc w:val="center"/>
              <w:rPr>
                <w:spacing w:val="-5"/>
                <w:lang w:eastAsia="en-US"/>
              </w:rPr>
            </w:pPr>
            <w:r w:rsidRPr="00163139">
              <w:rPr>
                <w:spacing w:val="-5"/>
                <w:sz w:val="21"/>
                <w:lang w:eastAsia="en-US"/>
              </w:rPr>
              <w:t>100.0</w:t>
            </w:r>
          </w:p>
        </w:tc>
        <w:tc>
          <w:tcPr>
            <w:tcW w:w="1101" w:type="dxa"/>
            <w:vMerge w:val="restart"/>
            <w:tcBorders>
              <w:top w:val="single" w:sz="8" w:space="0" w:color="000000"/>
              <w:left w:val="single" w:sz="8" w:space="0" w:color="000000"/>
              <w:bottom w:val="single" w:sz="8" w:space="0" w:color="000000"/>
              <w:right w:val="single" w:sz="8" w:space="0" w:color="000000"/>
            </w:tcBorders>
            <w:vAlign w:val="center"/>
          </w:tcPr>
          <w:p w14:paraId="6DBE99CE" w14:textId="77777777" w:rsidR="00163139" w:rsidRPr="00163139" w:rsidRDefault="00163139" w:rsidP="00163139">
            <w:pPr>
              <w:spacing w:line="259" w:lineRule="auto"/>
              <w:ind w:left="91"/>
              <w:rPr>
                <w:spacing w:val="-5"/>
                <w:lang w:eastAsia="en-US"/>
              </w:rPr>
            </w:pPr>
            <w:r w:rsidRPr="00163139">
              <w:rPr>
                <w:spacing w:val="-5"/>
                <w:sz w:val="21"/>
                <w:lang w:eastAsia="en-US"/>
              </w:rPr>
              <w:t>365 days</w:t>
            </w:r>
          </w:p>
        </w:tc>
        <w:tc>
          <w:tcPr>
            <w:tcW w:w="1101" w:type="dxa"/>
            <w:vMerge w:val="restart"/>
            <w:tcBorders>
              <w:top w:val="single" w:sz="8" w:space="0" w:color="000000"/>
              <w:left w:val="single" w:sz="8" w:space="0" w:color="000000"/>
              <w:bottom w:val="single" w:sz="8" w:space="0" w:color="000000"/>
              <w:right w:val="single" w:sz="8" w:space="0" w:color="000000"/>
            </w:tcBorders>
            <w:vAlign w:val="center"/>
          </w:tcPr>
          <w:p w14:paraId="441F66ED" w14:textId="77777777" w:rsidR="00163139" w:rsidRPr="00163139" w:rsidRDefault="00163139" w:rsidP="00163139">
            <w:pPr>
              <w:spacing w:line="259" w:lineRule="auto"/>
              <w:ind w:left="88"/>
              <w:jc w:val="center"/>
              <w:rPr>
                <w:spacing w:val="-5"/>
                <w:lang w:eastAsia="en-US"/>
              </w:rPr>
            </w:pPr>
            <w:r w:rsidRPr="00163139">
              <w:rPr>
                <w:spacing w:val="-5"/>
                <w:sz w:val="21"/>
                <w:lang w:eastAsia="en-US"/>
              </w:rPr>
              <w:t>-</w:t>
            </w:r>
          </w:p>
        </w:tc>
        <w:tc>
          <w:tcPr>
            <w:tcW w:w="1101" w:type="dxa"/>
            <w:vMerge w:val="restart"/>
            <w:tcBorders>
              <w:top w:val="single" w:sz="8" w:space="0" w:color="000000"/>
              <w:left w:val="single" w:sz="8" w:space="0" w:color="000000"/>
              <w:bottom w:val="single" w:sz="8" w:space="0" w:color="000000"/>
              <w:right w:val="single" w:sz="8" w:space="0" w:color="000000"/>
            </w:tcBorders>
            <w:vAlign w:val="center"/>
          </w:tcPr>
          <w:p w14:paraId="03BC6BF1" w14:textId="77777777" w:rsidR="00163139" w:rsidRPr="00163139" w:rsidRDefault="00163139" w:rsidP="00163139">
            <w:pPr>
              <w:spacing w:line="259" w:lineRule="auto"/>
              <w:ind w:left="87"/>
              <w:jc w:val="center"/>
              <w:rPr>
                <w:spacing w:val="-5"/>
                <w:lang w:eastAsia="en-US"/>
              </w:rPr>
            </w:pPr>
            <w:r w:rsidRPr="00163139">
              <w:rPr>
                <w:spacing w:val="-5"/>
                <w:sz w:val="21"/>
                <w:lang w:eastAsia="en-US"/>
              </w:rPr>
              <w:t>-</w:t>
            </w:r>
          </w:p>
        </w:tc>
      </w:tr>
      <w:tr w:rsidR="00163139" w:rsidRPr="00163139" w14:paraId="0FBCB31C" w14:textId="77777777" w:rsidTr="0061569A">
        <w:trPr>
          <w:trHeight w:val="260"/>
        </w:trPr>
        <w:tc>
          <w:tcPr>
            <w:tcW w:w="4818" w:type="dxa"/>
            <w:tcBorders>
              <w:top w:val="single" w:sz="8" w:space="0" w:color="000000"/>
              <w:left w:val="single" w:sz="8" w:space="0" w:color="000000"/>
              <w:bottom w:val="single" w:sz="8" w:space="0" w:color="000000"/>
              <w:right w:val="single" w:sz="8" w:space="0" w:color="000000"/>
            </w:tcBorders>
          </w:tcPr>
          <w:p w14:paraId="18857C50" w14:textId="77777777" w:rsidR="00163139" w:rsidRPr="00163139" w:rsidRDefault="00163139" w:rsidP="00163139">
            <w:pPr>
              <w:spacing w:line="259" w:lineRule="auto"/>
              <w:rPr>
                <w:spacing w:val="-5"/>
                <w:lang w:eastAsia="en-US"/>
              </w:rPr>
            </w:pPr>
            <w:r w:rsidRPr="00163139">
              <w:rPr>
                <w:spacing w:val="-5"/>
                <w:sz w:val="21"/>
                <w:lang w:eastAsia="en-US"/>
              </w:rPr>
              <w:t>Lloyds Bank PLC (RFB)</w:t>
            </w:r>
          </w:p>
        </w:tc>
        <w:tc>
          <w:tcPr>
            <w:tcW w:w="1168" w:type="dxa"/>
            <w:tcBorders>
              <w:top w:val="single" w:sz="8" w:space="0" w:color="000000"/>
              <w:left w:val="single" w:sz="8" w:space="0" w:color="000000"/>
              <w:bottom w:val="single" w:sz="8" w:space="0" w:color="000000"/>
              <w:right w:val="single" w:sz="8" w:space="0" w:color="000000"/>
            </w:tcBorders>
          </w:tcPr>
          <w:p w14:paraId="53FED75D" w14:textId="77777777" w:rsidR="00163139" w:rsidRPr="00163139" w:rsidRDefault="00163139" w:rsidP="00163139">
            <w:pPr>
              <w:spacing w:line="259" w:lineRule="auto"/>
              <w:ind w:left="85"/>
              <w:jc w:val="center"/>
              <w:rPr>
                <w:spacing w:val="-5"/>
                <w:lang w:eastAsia="en-US"/>
              </w:rPr>
            </w:pPr>
            <w:r w:rsidRPr="00163139">
              <w:rPr>
                <w:spacing w:val="-5"/>
                <w:sz w:val="21"/>
                <w:lang w:eastAsia="en-US"/>
              </w:rPr>
              <w:t>GBR</w:t>
            </w:r>
          </w:p>
        </w:tc>
        <w:tc>
          <w:tcPr>
            <w:tcW w:w="0" w:type="auto"/>
            <w:vMerge/>
            <w:tcBorders>
              <w:top w:val="nil"/>
              <w:left w:val="single" w:sz="8" w:space="0" w:color="000000"/>
              <w:bottom w:val="nil"/>
              <w:right w:val="single" w:sz="8" w:space="0" w:color="000000"/>
            </w:tcBorders>
          </w:tcPr>
          <w:p w14:paraId="7298DD81" w14:textId="77777777" w:rsidR="00163139" w:rsidRPr="00163139" w:rsidRDefault="00163139" w:rsidP="00163139">
            <w:pPr>
              <w:spacing w:after="160" w:line="259" w:lineRule="auto"/>
              <w:rPr>
                <w:spacing w:val="-5"/>
                <w:lang w:eastAsia="en-US"/>
              </w:rPr>
            </w:pPr>
          </w:p>
        </w:tc>
        <w:tc>
          <w:tcPr>
            <w:tcW w:w="0" w:type="auto"/>
            <w:vMerge/>
            <w:tcBorders>
              <w:top w:val="nil"/>
              <w:left w:val="single" w:sz="8" w:space="0" w:color="000000"/>
              <w:bottom w:val="nil"/>
              <w:right w:val="single" w:sz="8" w:space="0" w:color="000000"/>
            </w:tcBorders>
          </w:tcPr>
          <w:p w14:paraId="6D768C15" w14:textId="77777777" w:rsidR="00163139" w:rsidRPr="00163139" w:rsidRDefault="00163139" w:rsidP="00163139">
            <w:pPr>
              <w:spacing w:after="160" w:line="259" w:lineRule="auto"/>
              <w:rPr>
                <w:spacing w:val="-5"/>
                <w:lang w:eastAsia="en-US"/>
              </w:rPr>
            </w:pPr>
          </w:p>
        </w:tc>
        <w:tc>
          <w:tcPr>
            <w:tcW w:w="0" w:type="auto"/>
            <w:vMerge/>
            <w:tcBorders>
              <w:top w:val="nil"/>
              <w:left w:val="single" w:sz="8" w:space="0" w:color="000000"/>
              <w:bottom w:val="nil"/>
              <w:right w:val="single" w:sz="8" w:space="0" w:color="000000"/>
            </w:tcBorders>
          </w:tcPr>
          <w:p w14:paraId="77E8E2F5" w14:textId="77777777" w:rsidR="00163139" w:rsidRPr="00163139" w:rsidRDefault="00163139" w:rsidP="00163139">
            <w:pPr>
              <w:spacing w:after="160" w:line="259" w:lineRule="auto"/>
              <w:rPr>
                <w:spacing w:val="-5"/>
                <w:lang w:eastAsia="en-US"/>
              </w:rPr>
            </w:pPr>
          </w:p>
        </w:tc>
        <w:tc>
          <w:tcPr>
            <w:tcW w:w="0" w:type="auto"/>
            <w:vMerge/>
            <w:tcBorders>
              <w:top w:val="nil"/>
              <w:left w:val="single" w:sz="8" w:space="0" w:color="000000"/>
              <w:bottom w:val="nil"/>
              <w:right w:val="single" w:sz="8" w:space="0" w:color="000000"/>
            </w:tcBorders>
          </w:tcPr>
          <w:p w14:paraId="3C57CF69" w14:textId="77777777" w:rsidR="00163139" w:rsidRPr="00163139" w:rsidRDefault="00163139" w:rsidP="00163139">
            <w:pPr>
              <w:spacing w:after="160" w:line="259" w:lineRule="auto"/>
              <w:rPr>
                <w:spacing w:val="-5"/>
                <w:lang w:eastAsia="en-US"/>
              </w:rPr>
            </w:pPr>
          </w:p>
        </w:tc>
      </w:tr>
      <w:tr w:rsidR="00163139" w:rsidRPr="00163139" w14:paraId="22913089" w14:textId="77777777" w:rsidTr="0061569A">
        <w:trPr>
          <w:trHeight w:val="260"/>
        </w:trPr>
        <w:tc>
          <w:tcPr>
            <w:tcW w:w="4818" w:type="dxa"/>
            <w:tcBorders>
              <w:top w:val="single" w:sz="8" w:space="0" w:color="000000"/>
              <w:left w:val="single" w:sz="8" w:space="0" w:color="000000"/>
              <w:bottom w:val="single" w:sz="8" w:space="0" w:color="000000"/>
              <w:right w:val="single" w:sz="8" w:space="0" w:color="000000"/>
            </w:tcBorders>
          </w:tcPr>
          <w:p w14:paraId="552FE2FB" w14:textId="77777777" w:rsidR="00163139" w:rsidRPr="00163139" w:rsidRDefault="00163139" w:rsidP="00163139">
            <w:pPr>
              <w:spacing w:line="259" w:lineRule="auto"/>
              <w:rPr>
                <w:spacing w:val="-5"/>
                <w:lang w:eastAsia="en-US"/>
              </w:rPr>
            </w:pPr>
            <w:r w:rsidRPr="00163139">
              <w:rPr>
                <w:spacing w:val="-5"/>
                <w:sz w:val="21"/>
                <w:lang w:eastAsia="en-US"/>
              </w:rPr>
              <w:t>Lloyds Bank Corporate Markets PLC (NRFB)</w:t>
            </w:r>
          </w:p>
        </w:tc>
        <w:tc>
          <w:tcPr>
            <w:tcW w:w="1168" w:type="dxa"/>
            <w:tcBorders>
              <w:top w:val="single" w:sz="8" w:space="0" w:color="000000"/>
              <w:left w:val="single" w:sz="8" w:space="0" w:color="000000"/>
              <w:bottom w:val="single" w:sz="8" w:space="0" w:color="000000"/>
              <w:right w:val="single" w:sz="8" w:space="0" w:color="000000"/>
            </w:tcBorders>
          </w:tcPr>
          <w:p w14:paraId="29239EA9" w14:textId="77777777" w:rsidR="00163139" w:rsidRPr="00163139" w:rsidRDefault="00163139" w:rsidP="00163139">
            <w:pPr>
              <w:spacing w:line="259" w:lineRule="auto"/>
              <w:ind w:left="85"/>
              <w:jc w:val="center"/>
              <w:rPr>
                <w:spacing w:val="-5"/>
                <w:lang w:eastAsia="en-US"/>
              </w:rPr>
            </w:pPr>
            <w:r w:rsidRPr="00163139">
              <w:rPr>
                <w:spacing w:val="-5"/>
                <w:sz w:val="21"/>
                <w:lang w:eastAsia="en-US"/>
              </w:rPr>
              <w:t>GBR</w:t>
            </w:r>
          </w:p>
        </w:tc>
        <w:tc>
          <w:tcPr>
            <w:tcW w:w="0" w:type="auto"/>
            <w:vMerge/>
            <w:tcBorders>
              <w:top w:val="nil"/>
              <w:left w:val="single" w:sz="8" w:space="0" w:color="000000"/>
              <w:bottom w:val="single" w:sz="8" w:space="0" w:color="000000"/>
              <w:right w:val="single" w:sz="8" w:space="0" w:color="000000"/>
            </w:tcBorders>
          </w:tcPr>
          <w:p w14:paraId="568A8D50" w14:textId="77777777" w:rsidR="00163139" w:rsidRPr="00163139" w:rsidRDefault="00163139" w:rsidP="00163139">
            <w:pPr>
              <w:spacing w:after="160" w:line="259" w:lineRule="auto"/>
              <w:rPr>
                <w:spacing w:val="-5"/>
                <w:lang w:eastAsia="en-US"/>
              </w:rPr>
            </w:pPr>
          </w:p>
        </w:tc>
        <w:tc>
          <w:tcPr>
            <w:tcW w:w="0" w:type="auto"/>
            <w:vMerge/>
            <w:tcBorders>
              <w:top w:val="nil"/>
              <w:left w:val="single" w:sz="8" w:space="0" w:color="000000"/>
              <w:bottom w:val="single" w:sz="8" w:space="0" w:color="000000"/>
              <w:right w:val="single" w:sz="8" w:space="0" w:color="000000"/>
            </w:tcBorders>
          </w:tcPr>
          <w:p w14:paraId="1C5C20B0" w14:textId="77777777" w:rsidR="00163139" w:rsidRPr="00163139" w:rsidRDefault="00163139" w:rsidP="00163139">
            <w:pPr>
              <w:spacing w:after="160" w:line="259" w:lineRule="auto"/>
              <w:rPr>
                <w:spacing w:val="-5"/>
                <w:lang w:eastAsia="en-US"/>
              </w:rPr>
            </w:pPr>
          </w:p>
        </w:tc>
        <w:tc>
          <w:tcPr>
            <w:tcW w:w="0" w:type="auto"/>
            <w:vMerge/>
            <w:tcBorders>
              <w:top w:val="nil"/>
              <w:left w:val="single" w:sz="8" w:space="0" w:color="000000"/>
              <w:bottom w:val="single" w:sz="8" w:space="0" w:color="000000"/>
              <w:right w:val="single" w:sz="8" w:space="0" w:color="000000"/>
            </w:tcBorders>
          </w:tcPr>
          <w:p w14:paraId="155EC5A0" w14:textId="77777777" w:rsidR="00163139" w:rsidRPr="00163139" w:rsidRDefault="00163139" w:rsidP="00163139">
            <w:pPr>
              <w:spacing w:after="160" w:line="259" w:lineRule="auto"/>
              <w:rPr>
                <w:spacing w:val="-5"/>
                <w:lang w:eastAsia="en-US"/>
              </w:rPr>
            </w:pPr>
          </w:p>
        </w:tc>
        <w:tc>
          <w:tcPr>
            <w:tcW w:w="0" w:type="auto"/>
            <w:vMerge/>
            <w:tcBorders>
              <w:top w:val="nil"/>
              <w:left w:val="single" w:sz="8" w:space="0" w:color="000000"/>
              <w:bottom w:val="single" w:sz="8" w:space="0" w:color="000000"/>
              <w:right w:val="single" w:sz="8" w:space="0" w:color="000000"/>
            </w:tcBorders>
          </w:tcPr>
          <w:p w14:paraId="6FD03BC0" w14:textId="77777777" w:rsidR="00163139" w:rsidRPr="00163139" w:rsidRDefault="00163139" w:rsidP="00163139">
            <w:pPr>
              <w:spacing w:after="160" w:line="259" w:lineRule="auto"/>
              <w:rPr>
                <w:spacing w:val="-5"/>
                <w:lang w:eastAsia="en-US"/>
              </w:rPr>
            </w:pPr>
          </w:p>
        </w:tc>
      </w:tr>
      <w:tr w:rsidR="00163139" w:rsidRPr="00163139" w14:paraId="4093F6F5" w14:textId="77777777" w:rsidTr="0061569A">
        <w:trPr>
          <w:trHeight w:val="260"/>
        </w:trPr>
        <w:tc>
          <w:tcPr>
            <w:tcW w:w="4818" w:type="dxa"/>
            <w:tcBorders>
              <w:top w:val="single" w:sz="8" w:space="0" w:color="000000"/>
              <w:left w:val="single" w:sz="8" w:space="0" w:color="000000"/>
              <w:bottom w:val="single" w:sz="8" w:space="0" w:color="000000"/>
              <w:right w:val="single" w:sz="8" w:space="0" w:color="000000"/>
            </w:tcBorders>
          </w:tcPr>
          <w:p w14:paraId="36FFADF2" w14:textId="77777777" w:rsidR="00163139" w:rsidRPr="00163139" w:rsidRDefault="00163139" w:rsidP="00163139">
            <w:pPr>
              <w:spacing w:line="259" w:lineRule="auto"/>
              <w:rPr>
                <w:spacing w:val="-5"/>
                <w:lang w:eastAsia="en-US"/>
              </w:rPr>
            </w:pPr>
            <w:r w:rsidRPr="00163139">
              <w:rPr>
                <w:spacing w:val="-5"/>
                <w:sz w:val="21"/>
                <w:lang w:eastAsia="en-US"/>
              </w:rPr>
              <w:t>Goldman Sachs International Bank</w:t>
            </w:r>
          </w:p>
        </w:tc>
        <w:tc>
          <w:tcPr>
            <w:tcW w:w="1168" w:type="dxa"/>
            <w:tcBorders>
              <w:top w:val="single" w:sz="8" w:space="0" w:color="000000"/>
              <w:left w:val="single" w:sz="8" w:space="0" w:color="000000"/>
              <w:bottom w:val="single" w:sz="8" w:space="0" w:color="000000"/>
              <w:right w:val="single" w:sz="8" w:space="0" w:color="000000"/>
            </w:tcBorders>
          </w:tcPr>
          <w:p w14:paraId="09C0DCE8" w14:textId="77777777" w:rsidR="00163139" w:rsidRPr="00163139" w:rsidRDefault="00163139" w:rsidP="00163139">
            <w:pPr>
              <w:spacing w:line="259" w:lineRule="auto"/>
              <w:ind w:left="85"/>
              <w:jc w:val="center"/>
              <w:rPr>
                <w:spacing w:val="-5"/>
                <w:lang w:eastAsia="en-US"/>
              </w:rPr>
            </w:pPr>
            <w:r w:rsidRPr="00163139">
              <w:rPr>
                <w:spacing w:val="-5"/>
                <w:sz w:val="21"/>
                <w:lang w:eastAsia="en-US"/>
              </w:rPr>
              <w:t>GBR</w:t>
            </w:r>
          </w:p>
        </w:tc>
        <w:tc>
          <w:tcPr>
            <w:tcW w:w="1102" w:type="dxa"/>
            <w:tcBorders>
              <w:top w:val="single" w:sz="8" w:space="0" w:color="000000"/>
              <w:left w:val="single" w:sz="8" w:space="0" w:color="000000"/>
              <w:bottom w:val="single" w:sz="8" w:space="0" w:color="000000"/>
              <w:right w:val="single" w:sz="8" w:space="0" w:color="000000"/>
            </w:tcBorders>
          </w:tcPr>
          <w:p w14:paraId="46E76867" w14:textId="77777777" w:rsidR="00163139" w:rsidRPr="00163139" w:rsidRDefault="00163139" w:rsidP="00163139">
            <w:pPr>
              <w:spacing w:line="259" w:lineRule="auto"/>
              <w:ind w:left="85"/>
              <w:jc w:val="center"/>
              <w:rPr>
                <w:spacing w:val="-5"/>
                <w:lang w:eastAsia="en-US"/>
              </w:rPr>
            </w:pPr>
            <w:r w:rsidRPr="00163139">
              <w:rPr>
                <w:spacing w:val="-5"/>
                <w:sz w:val="21"/>
                <w:lang w:eastAsia="en-US"/>
              </w:rPr>
              <w:t>100.0</w:t>
            </w:r>
          </w:p>
        </w:tc>
        <w:tc>
          <w:tcPr>
            <w:tcW w:w="1101" w:type="dxa"/>
            <w:tcBorders>
              <w:top w:val="single" w:sz="8" w:space="0" w:color="000000"/>
              <w:left w:val="single" w:sz="8" w:space="0" w:color="000000"/>
              <w:bottom w:val="single" w:sz="8" w:space="0" w:color="000000"/>
              <w:right w:val="single" w:sz="8" w:space="0" w:color="000000"/>
            </w:tcBorders>
          </w:tcPr>
          <w:p w14:paraId="369D1322" w14:textId="77777777" w:rsidR="00163139" w:rsidRPr="00163139" w:rsidRDefault="00163139" w:rsidP="00163139">
            <w:pPr>
              <w:spacing w:line="259" w:lineRule="auto"/>
              <w:ind w:left="91"/>
              <w:rPr>
                <w:spacing w:val="-5"/>
                <w:lang w:eastAsia="en-US"/>
              </w:rPr>
            </w:pPr>
            <w:r w:rsidRPr="00163139">
              <w:rPr>
                <w:spacing w:val="-5"/>
                <w:sz w:val="21"/>
                <w:lang w:eastAsia="en-US"/>
              </w:rPr>
              <w:t>6 months</w:t>
            </w:r>
          </w:p>
        </w:tc>
        <w:tc>
          <w:tcPr>
            <w:tcW w:w="1101" w:type="dxa"/>
            <w:tcBorders>
              <w:top w:val="single" w:sz="8" w:space="0" w:color="000000"/>
              <w:left w:val="single" w:sz="8" w:space="0" w:color="000000"/>
              <w:bottom w:val="single" w:sz="8" w:space="0" w:color="000000"/>
              <w:right w:val="single" w:sz="8" w:space="0" w:color="000000"/>
            </w:tcBorders>
          </w:tcPr>
          <w:p w14:paraId="42F3BF6A" w14:textId="77777777" w:rsidR="00163139" w:rsidRPr="00163139" w:rsidRDefault="00163139" w:rsidP="00163139">
            <w:pPr>
              <w:spacing w:line="259" w:lineRule="auto"/>
              <w:ind w:left="88"/>
              <w:jc w:val="center"/>
              <w:rPr>
                <w:spacing w:val="-5"/>
                <w:lang w:eastAsia="en-US"/>
              </w:rPr>
            </w:pPr>
            <w:r w:rsidRPr="00163139">
              <w:rPr>
                <w:spacing w:val="-5"/>
                <w:sz w:val="21"/>
                <w:lang w:eastAsia="en-US"/>
              </w:rPr>
              <w:t>-</w:t>
            </w:r>
          </w:p>
        </w:tc>
        <w:tc>
          <w:tcPr>
            <w:tcW w:w="1101" w:type="dxa"/>
            <w:tcBorders>
              <w:top w:val="single" w:sz="8" w:space="0" w:color="000000"/>
              <w:left w:val="single" w:sz="8" w:space="0" w:color="000000"/>
              <w:bottom w:val="single" w:sz="8" w:space="0" w:color="000000"/>
              <w:right w:val="single" w:sz="8" w:space="0" w:color="000000"/>
            </w:tcBorders>
          </w:tcPr>
          <w:p w14:paraId="1C032AF7" w14:textId="77777777" w:rsidR="00163139" w:rsidRPr="00163139" w:rsidRDefault="00163139" w:rsidP="00163139">
            <w:pPr>
              <w:spacing w:line="259" w:lineRule="auto"/>
              <w:ind w:left="87"/>
              <w:jc w:val="center"/>
              <w:rPr>
                <w:spacing w:val="-5"/>
                <w:lang w:eastAsia="en-US"/>
              </w:rPr>
            </w:pPr>
            <w:r w:rsidRPr="00163139">
              <w:rPr>
                <w:spacing w:val="-5"/>
                <w:sz w:val="21"/>
                <w:lang w:eastAsia="en-US"/>
              </w:rPr>
              <w:t>-</w:t>
            </w:r>
          </w:p>
        </w:tc>
      </w:tr>
      <w:tr w:rsidR="00163139" w:rsidRPr="00163139" w14:paraId="1BA4B610" w14:textId="77777777" w:rsidTr="0061569A">
        <w:trPr>
          <w:trHeight w:val="260"/>
        </w:trPr>
        <w:tc>
          <w:tcPr>
            <w:tcW w:w="4818" w:type="dxa"/>
            <w:tcBorders>
              <w:top w:val="single" w:sz="8" w:space="0" w:color="000000"/>
              <w:left w:val="single" w:sz="8" w:space="0" w:color="000000"/>
              <w:bottom w:val="single" w:sz="8" w:space="0" w:color="000000"/>
              <w:right w:val="single" w:sz="8" w:space="0" w:color="000000"/>
            </w:tcBorders>
          </w:tcPr>
          <w:p w14:paraId="0775FBCF" w14:textId="77777777" w:rsidR="00163139" w:rsidRPr="00163139" w:rsidRDefault="00163139" w:rsidP="00163139">
            <w:pPr>
              <w:spacing w:line="259" w:lineRule="auto"/>
              <w:rPr>
                <w:spacing w:val="-5"/>
                <w:lang w:eastAsia="en-US"/>
              </w:rPr>
            </w:pPr>
            <w:r w:rsidRPr="00163139">
              <w:rPr>
                <w:spacing w:val="-5"/>
                <w:sz w:val="21"/>
                <w:lang w:eastAsia="en-US"/>
              </w:rPr>
              <w:t>Sumitomo Mitsui</w:t>
            </w:r>
          </w:p>
        </w:tc>
        <w:tc>
          <w:tcPr>
            <w:tcW w:w="1168" w:type="dxa"/>
            <w:tcBorders>
              <w:top w:val="single" w:sz="8" w:space="0" w:color="000000"/>
              <w:left w:val="single" w:sz="8" w:space="0" w:color="000000"/>
              <w:bottom w:val="single" w:sz="8" w:space="0" w:color="000000"/>
              <w:right w:val="single" w:sz="8" w:space="0" w:color="000000"/>
            </w:tcBorders>
          </w:tcPr>
          <w:p w14:paraId="5449EFC4" w14:textId="77777777" w:rsidR="00163139" w:rsidRPr="00163139" w:rsidRDefault="00163139" w:rsidP="00163139">
            <w:pPr>
              <w:spacing w:line="259" w:lineRule="auto"/>
              <w:ind w:left="85"/>
              <w:jc w:val="center"/>
              <w:rPr>
                <w:spacing w:val="-5"/>
                <w:lang w:eastAsia="en-US"/>
              </w:rPr>
            </w:pPr>
            <w:r w:rsidRPr="00163139">
              <w:rPr>
                <w:spacing w:val="-5"/>
                <w:sz w:val="21"/>
                <w:lang w:eastAsia="en-US"/>
              </w:rPr>
              <w:t>GBR</w:t>
            </w:r>
          </w:p>
        </w:tc>
        <w:tc>
          <w:tcPr>
            <w:tcW w:w="1102" w:type="dxa"/>
            <w:tcBorders>
              <w:top w:val="single" w:sz="8" w:space="0" w:color="000000"/>
              <w:left w:val="single" w:sz="8" w:space="0" w:color="000000"/>
              <w:bottom w:val="single" w:sz="8" w:space="0" w:color="000000"/>
              <w:right w:val="single" w:sz="8" w:space="0" w:color="000000"/>
            </w:tcBorders>
          </w:tcPr>
          <w:p w14:paraId="33801B8E" w14:textId="77777777" w:rsidR="00163139" w:rsidRPr="00163139" w:rsidRDefault="00163139" w:rsidP="00163139">
            <w:pPr>
              <w:spacing w:line="259" w:lineRule="auto"/>
              <w:ind w:left="85"/>
              <w:jc w:val="center"/>
              <w:rPr>
                <w:spacing w:val="-5"/>
                <w:lang w:eastAsia="en-US"/>
              </w:rPr>
            </w:pPr>
            <w:r w:rsidRPr="00163139">
              <w:rPr>
                <w:spacing w:val="-5"/>
                <w:sz w:val="21"/>
                <w:lang w:eastAsia="en-US"/>
              </w:rPr>
              <w:t>100.0</w:t>
            </w:r>
          </w:p>
        </w:tc>
        <w:tc>
          <w:tcPr>
            <w:tcW w:w="1101" w:type="dxa"/>
            <w:tcBorders>
              <w:top w:val="single" w:sz="8" w:space="0" w:color="000000"/>
              <w:left w:val="single" w:sz="8" w:space="0" w:color="000000"/>
              <w:bottom w:val="single" w:sz="8" w:space="0" w:color="000000"/>
              <w:right w:val="single" w:sz="8" w:space="0" w:color="000000"/>
            </w:tcBorders>
          </w:tcPr>
          <w:p w14:paraId="54ADD8E6" w14:textId="77777777" w:rsidR="00163139" w:rsidRPr="00163139" w:rsidRDefault="00163139" w:rsidP="00163139">
            <w:pPr>
              <w:spacing w:line="259" w:lineRule="auto"/>
              <w:ind w:left="91"/>
              <w:rPr>
                <w:spacing w:val="-5"/>
                <w:lang w:eastAsia="en-US"/>
              </w:rPr>
            </w:pPr>
            <w:r w:rsidRPr="00163139">
              <w:rPr>
                <w:spacing w:val="-5"/>
                <w:sz w:val="21"/>
                <w:lang w:eastAsia="en-US"/>
              </w:rPr>
              <w:t>6 months</w:t>
            </w:r>
          </w:p>
        </w:tc>
        <w:tc>
          <w:tcPr>
            <w:tcW w:w="1101" w:type="dxa"/>
            <w:tcBorders>
              <w:top w:val="single" w:sz="8" w:space="0" w:color="000000"/>
              <w:left w:val="single" w:sz="8" w:space="0" w:color="000000"/>
              <w:bottom w:val="single" w:sz="8" w:space="0" w:color="000000"/>
              <w:right w:val="single" w:sz="8" w:space="0" w:color="000000"/>
            </w:tcBorders>
          </w:tcPr>
          <w:p w14:paraId="2C66BFE1" w14:textId="77777777" w:rsidR="00163139" w:rsidRPr="00163139" w:rsidRDefault="00163139" w:rsidP="00163139">
            <w:pPr>
              <w:spacing w:line="259" w:lineRule="auto"/>
              <w:ind w:left="88"/>
              <w:jc w:val="center"/>
              <w:rPr>
                <w:spacing w:val="-5"/>
                <w:lang w:eastAsia="en-US"/>
              </w:rPr>
            </w:pPr>
            <w:r w:rsidRPr="00163139">
              <w:rPr>
                <w:spacing w:val="-5"/>
                <w:sz w:val="21"/>
                <w:lang w:eastAsia="en-US"/>
              </w:rPr>
              <w:t>-</w:t>
            </w:r>
          </w:p>
        </w:tc>
        <w:tc>
          <w:tcPr>
            <w:tcW w:w="1101" w:type="dxa"/>
            <w:tcBorders>
              <w:top w:val="single" w:sz="8" w:space="0" w:color="000000"/>
              <w:left w:val="single" w:sz="8" w:space="0" w:color="000000"/>
              <w:bottom w:val="single" w:sz="8" w:space="0" w:color="000000"/>
              <w:right w:val="single" w:sz="8" w:space="0" w:color="000000"/>
            </w:tcBorders>
          </w:tcPr>
          <w:p w14:paraId="7CDBE9C9" w14:textId="77777777" w:rsidR="00163139" w:rsidRPr="00163139" w:rsidRDefault="00163139" w:rsidP="00163139">
            <w:pPr>
              <w:spacing w:line="259" w:lineRule="auto"/>
              <w:ind w:left="87"/>
              <w:jc w:val="center"/>
              <w:rPr>
                <w:spacing w:val="-5"/>
                <w:lang w:eastAsia="en-US"/>
              </w:rPr>
            </w:pPr>
            <w:r w:rsidRPr="00163139">
              <w:rPr>
                <w:spacing w:val="-5"/>
                <w:sz w:val="21"/>
                <w:lang w:eastAsia="en-US"/>
              </w:rPr>
              <w:t>-</w:t>
            </w:r>
          </w:p>
        </w:tc>
      </w:tr>
      <w:tr w:rsidR="00163139" w:rsidRPr="00163139" w14:paraId="4018B2ED" w14:textId="77777777" w:rsidTr="0061569A">
        <w:trPr>
          <w:trHeight w:val="260"/>
        </w:trPr>
        <w:tc>
          <w:tcPr>
            <w:tcW w:w="4818" w:type="dxa"/>
            <w:tcBorders>
              <w:top w:val="single" w:sz="8" w:space="0" w:color="000000"/>
              <w:left w:val="single" w:sz="8" w:space="0" w:color="000000"/>
              <w:bottom w:val="single" w:sz="8" w:space="0" w:color="000000"/>
              <w:right w:val="single" w:sz="8" w:space="0" w:color="000000"/>
            </w:tcBorders>
          </w:tcPr>
          <w:p w14:paraId="18E948F9" w14:textId="77777777" w:rsidR="00163139" w:rsidRPr="00163139" w:rsidRDefault="00163139" w:rsidP="00163139">
            <w:pPr>
              <w:spacing w:line="259" w:lineRule="auto"/>
              <w:rPr>
                <w:spacing w:val="-5"/>
                <w:lang w:eastAsia="en-US"/>
              </w:rPr>
            </w:pPr>
            <w:r w:rsidRPr="00163139">
              <w:rPr>
                <w:spacing w:val="-5"/>
                <w:sz w:val="21"/>
                <w:lang w:eastAsia="en-US"/>
              </w:rPr>
              <w:t>Standard Chartered Bank</w:t>
            </w:r>
          </w:p>
        </w:tc>
        <w:tc>
          <w:tcPr>
            <w:tcW w:w="1168" w:type="dxa"/>
            <w:tcBorders>
              <w:top w:val="single" w:sz="8" w:space="0" w:color="000000"/>
              <w:left w:val="single" w:sz="8" w:space="0" w:color="000000"/>
              <w:bottom w:val="single" w:sz="8" w:space="0" w:color="000000"/>
              <w:right w:val="single" w:sz="8" w:space="0" w:color="000000"/>
            </w:tcBorders>
          </w:tcPr>
          <w:p w14:paraId="48A14509" w14:textId="77777777" w:rsidR="00163139" w:rsidRPr="00163139" w:rsidRDefault="00163139" w:rsidP="00163139">
            <w:pPr>
              <w:spacing w:line="259" w:lineRule="auto"/>
              <w:ind w:left="85"/>
              <w:jc w:val="center"/>
              <w:rPr>
                <w:spacing w:val="-5"/>
                <w:lang w:eastAsia="en-US"/>
              </w:rPr>
            </w:pPr>
            <w:r w:rsidRPr="00163139">
              <w:rPr>
                <w:spacing w:val="-5"/>
                <w:sz w:val="21"/>
                <w:lang w:eastAsia="en-US"/>
              </w:rPr>
              <w:t>GBR</w:t>
            </w:r>
          </w:p>
        </w:tc>
        <w:tc>
          <w:tcPr>
            <w:tcW w:w="1102" w:type="dxa"/>
            <w:tcBorders>
              <w:top w:val="single" w:sz="8" w:space="0" w:color="000000"/>
              <w:left w:val="single" w:sz="8" w:space="0" w:color="000000"/>
              <w:bottom w:val="single" w:sz="8" w:space="0" w:color="000000"/>
              <w:right w:val="single" w:sz="8" w:space="0" w:color="000000"/>
            </w:tcBorders>
          </w:tcPr>
          <w:p w14:paraId="6DE2362B" w14:textId="77777777" w:rsidR="00163139" w:rsidRPr="00163139" w:rsidRDefault="00163139" w:rsidP="00163139">
            <w:pPr>
              <w:spacing w:line="259" w:lineRule="auto"/>
              <w:ind w:left="85"/>
              <w:jc w:val="center"/>
              <w:rPr>
                <w:spacing w:val="-5"/>
                <w:lang w:eastAsia="en-US"/>
              </w:rPr>
            </w:pPr>
            <w:r w:rsidRPr="00163139">
              <w:rPr>
                <w:spacing w:val="-5"/>
                <w:sz w:val="21"/>
                <w:lang w:eastAsia="en-US"/>
              </w:rPr>
              <w:t>80.0</w:t>
            </w:r>
          </w:p>
        </w:tc>
        <w:tc>
          <w:tcPr>
            <w:tcW w:w="1101" w:type="dxa"/>
            <w:tcBorders>
              <w:top w:val="single" w:sz="8" w:space="0" w:color="000000"/>
              <w:left w:val="single" w:sz="8" w:space="0" w:color="000000"/>
              <w:bottom w:val="single" w:sz="8" w:space="0" w:color="000000"/>
              <w:right w:val="single" w:sz="8" w:space="0" w:color="000000"/>
            </w:tcBorders>
          </w:tcPr>
          <w:p w14:paraId="1A450FE7" w14:textId="77777777" w:rsidR="00163139" w:rsidRPr="00163139" w:rsidRDefault="00163139" w:rsidP="00163139">
            <w:pPr>
              <w:spacing w:line="259" w:lineRule="auto"/>
              <w:ind w:left="91"/>
              <w:rPr>
                <w:spacing w:val="-5"/>
                <w:lang w:eastAsia="en-US"/>
              </w:rPr>
            </w:pPr>
            <w:r w:rsidRPr="00163139">
              <w:rPr>
                <w:spacing w:val="-5"/>
                <w:sz w:val="21"/>
                <w:lang w:eastAsia="en-US"/>
              </w:rPr>
              <w:t>365 days</w:t>
            </w:r>
          </w:p>
        </w:tc>
        <w:tc>
          <w:tcPr>
            <w:tcW w:w="1101" w:type="dxa"/>
            <w:tcBorders>
              <w:top w:val="single" w:sz="8" w:space="0" w:color="000000"/>
              <w:left w:val="single" w:sz="8" w:space="0" w:color="000000"/>
              <w:bottom w:val="single" w:sz="8" w:space="0" w:color="000000"/>
              <w:right w:val="single" w:sz="8" w:space="0" w:color="000000"/>
            </w:tcBorders>
          </w:tcPr>
          <w:p w14:paraId="667FC331" w14:textId="77777777" w:rsidR="00163139" w:rsidRPr="00163139" w:rsidRDefault="00163139" w:rsidP="00163139">
            <w:pPr>
              <w:spacing w:line="259" w:lineRule="auto"/>
              <w:ind w:left="88"/>
              <w:jc w:val="center"/>
              <w:rPr>
                <w:spacing w:val="-5"/>
                <w:lang w:eastAsia="en-US"/>
              </w:rPr>
            </w:pPr>
            <w:r w:rsidRPr="00163139">
              <w:rPr>
                <w:spacing w:val="-5"/>
                <w:sz w:val="21"/>
                <w:lang w:eastAsia="en-US"/>
              </w:rPr>
              <w:t>-</w:t>
            </w:r>
          </w:p>
        </w:tc>
        <w:tc>
          <w:tcPr>
            <w:tcW w:w="1101" w:type="dxa"/>
            <w:tcBorders>
              <w:top w:val="single" w:sz="8" w:space="0" w:color="000000"/>
              <w:left w:val="single" w:sz="8" w:space="0" w:color="000000"/>
              <w:bottom w:val="single" w:sz="8" w:space="0" w:color="000000"/>
              <w:right w:val="single" w:sz="8" w:space="0" w:color="000000"/>
            </w:tcBorders>
          </w:tcPr>
          <w:p w14:paraId="4E702A6F" w14:textId="77777777" w:rsidR="00163139" w:rsidRPr="00163139" w:rsidRDefault="00163139" w:rsidP="00163139">
            <w:pPr>
              <w:spacing w:line="259" w:lineRule="auto"/>
              <w:ind w:left="87"/>
              <w:jc w:val="center"/>
              <w:rPr>
                <w:spacing w:val="-5"/>
                <w:lang w:eastAsia="en-US"/>
              </w:rPr>
            </w:pPr>
            <w:r w:rsidRPr="00163139">
              <w:rPr>
                <w:spacing w:val="-5"/>
                <w:sz w:val="21"/>
                <w:lang w:eastAsia="en-US"/>
              </w:rPr>
              <w:t>-</w:t>
            </w:r>
          </w:p>
        </w:tc>
      </w:tr>
      <w:tr w:rsidR="00163139" w:rsidRPr="00163139" w14:paraId="12776A64" w14:textId="77777777" w:rsidTr="0061569A">
        <w:trPr>
          <w:trHeight w:val="260"/>
        </w:trPr>
        <w:tc>
          <w:tcPr>
            <w:tcW w:w="4818" w:type="dxa"/>
            <w:tcBorders>
              <w:top w:val="single" w:sz="8" w:space="0" w:color="000000"/>
              <w:left w:val="single" w:sz="8" w:space="0" w:color="000000"/>
              <w:bottom w:val="single" w:sz="8" w:space="0" w:color="000000"/>
              <w:right w:val="single" w:sz="8" w:space="0" w:color="000000"/>
            </w:tcBorders>
          </w:tcPr>
          <w:p w14:paraId="0E94F655" w14:textId="77777777" w:rsidR="00163139" w:rsidRPr="00163139" w:rsidRDefault="00163139" w:rsidP="00163139">
            <w:pPr>
              <w:spacing w:line="259" w:lineRule="auto"/>
              <w:rPr>
                <w:spacing w:val="-5"/>
                <w:lang w:eastAsia="en-US"/>
              </w:rPr>
            </w:pPr>
            <w:proofErr w:type="spellStart"/>
            <w:r w:rsidRPr="00163139">
              <w:rPr>
                <w:spacing w:val="-5"/>
                <w:sz w:val="21"/>
                <w:lang w:eastAsia="en-US"/>
              </w:rPr>
              <w:t>Handlesbanken</w:t>
            </w:r>
            <w:proofErr w:type="spellEnd"/>
          </w:p>
        </w:tc>
        <w:tc>
          <w:tcPr>
            <w:tcW w:w="1168" w:type="dxa"/>
            <w:tcBorders>
              <w:top w:val="single" w:sz="8" w:space="0" w:color="000000"/>
              <w:left w:val="single" w:sz="8" w:space="0" w:color="000000"/>
              <w:bottom w:val="single" w:sz="8" w:space="0" w:color="000000"/>
              <w:right w:val="single" w:sz="8" w:space="0" w:color="000000"/>
            </w:tcBorders>
          </w:tcPr>
          <w:p w14:paraId="03BAD241" w14:textId="77777777" w:rsidR="00163139" w:rsidRPr="00163139" w:rsidRDefault="00163139" w:rsidP="00163139">
            <w:pPr>
              <w:spacing w:line="259" w:lineRule="auto"/>
              <w:ind w:left="85"/>
              <w:jc w:val="center"/>
              <w:rPr>
                <w:spacing w:val="-5"/>
                <w:lang w:eastAsia="en-US"/>
              </w:rPr>
            </w:pPr>
            <w:r w:rsidRPr="00163139">
              <w:rPr>
                <w:spacing w:val="-5"/>
                <w:sz w:val="21"/>
                <w:lang w:eastAsia="en-US"/>
              </w:rPr>
              <w:t>GBR</w:t>
            </w:r>
          </w:p>
        </w:tc>
        <w:tc>
          <w:tcPr>
            <w:tcW w:w="1102" w:type="dxa"/>
            <w:tcBorders>
              <w:top w:val="single" w:sz="8" w:space="0" w:color="000000"/>
              <w:left w:val="single" w:sz="8" w:space="0" w:color="000000"/>
              <w:bottom w:val="single" w:sz="8" w:space="0" w:color="000000"/>
              <w:right w:val="single" w:sz="8" w:space="0" w:color="000000"/>
            </w:tcBorders>
          </w:tcPr>
          <w:p w14:paraId="3120C402" w14:textId="77777777" w:rsidR="00163139" w:rsidRPr="00163139" w:rsidRDefault="00163139" w:rsidP="00163139">
            <w:pPr>
              <w:spacing w:line="259" w:lineRule="auto"/>
              <w:ind w:left="85"/>
              <w:jc w:val="center"/>
              <w:rPr>
                <w:spacing w:val="-5"/>
                <w:lang w:eastAsia="en-US"/>
              </w:rPr>
            </w:pPr>
            <w:r w:rsidRPr="00163139">
              <w:rPr>
                <w:spacing w:val="-5"/>
                <w:sz w:val="21"/>
                <w:lang w:eastAsia="en-US"/>
              </w:rPr>
              <w:t>80.0</w:t>
            </w:r>
          </w:p>
        </w:tc>
        <w:tc>
          <w:tcPr>
            <w:tcW w:w="1101" w:type="dxa"/>
            <w:tcBorders>
              <w:top w:val="single" w:sz="8" w:space="0" w:color="000000"/>
              <w:left w:val="single" w:sz="8" w:space="0" w:color="000000"/>
              <w:bottom w:val="single" w:sz="8" w:space="0" w:color="000000"/>
              <w:right w:val="single" w:sz="8" w:space="0" w:color="000000"/>
            </w:tcBorders>
          </w:tcPr>
          <w:p w14:paraId="510C43A3" w14:textId="77777777" w:rsidR="00163139" w:rsidRPr="00163139" w:rsidRDefault="00163139" w:rsidP="00163139">
            <w:pPr>
              <w:spacing w:line="259" w:lineRule="auto"/>
              <w:ind w:left="104"/>
              <w:rPr>
                <w:spacing w:val="-5"/>
                <w:lang w:eastAsia="en-US"/>
              </w:rPr>
            </w:pPr>
            <w:r w:rsidRPr="00163139">
              <w:rPr>
                <w:spacing w:val="-5"/>
                <w:sz w:val="21"/>
                <w:lang w:eastAsia="en-US"/>
              </w:rPr>
              <w:t>365 days</w:t>
            </w:r>
          </w:p>
        </w:tc>
        <w:tc>
          <w:tcPr>
            <w:tcW w:w="1101" w:type="dxa"/>
            <w:tcBorders>
              <w:top w:val="single" w:sz="8" w:space="0" w:color="000000"/>
              <w:left w:val="single" w:sz="8" w:space="0" w:color="000000"/>
              <w:bottom w:val="single" w:sz="8" w:space="0" w:color="000000"/>
              <w:right w:val="single" w:sz="8" w:space="0" w:color="000000"/>
            </w:tcBorders>
          </w:tcPr>
          <w:p w14:paraId="5E8BA5EB" w14:textId="77777777" w:rsidR="00163139" w:rsidRPr="00163139" w:rsidRDefault="00163139" w:rsidP="00163139">
            <w:pPr>
              <w:spacing w:line="259" w:lineRule="auto"/>
              <w:ind w:left="88"/>
              <w:jc w:val="center"/>
              <w:rPr>
                <w:spacing w:val="-5"/>
                <w:lang w:eastAsia="en-US"/>
              </w:rPr>
            </w:pPr>
            <w:r w:rsidRPr="00163139">
              <w:rPr>
                <w:spacing w:val="-5"/>
                <w:sz w:val="21"/>
                <w:lang w:eastAsia="en-US"/>
              </w:rPr>
              <w:t>-</w:t>
            </w:r>
          </w:p>
        </w:tc>
        <w:tc>
          <w:tcPr>
            <w:tcW w:w="1101" w:type="dxa"/>
            <w:tcBorders>
              <w:top w:val="single" w:sz="8" w:space="0" w:color="000000"/>
              <w:left w:val="single" w:sz="8" w:space="0" w:color="000000"/>
              <w:bottom w:val="single" w:sz="8" w:space="0" w:color="000000"/>
              <w:right w:val="single" w:sz="8" w:space="0" w:color="000000"/>
            </w:tcBorders>
          </w:tcPr>
          <w:p w14:paraId="2E69232E" w14:textId="77777777" w:rsidR="00163139" w:rsidRPr="00163139" w:rsidRDefault="00163139" w:rsidP="00163139">
            <w:pPr>
              <w:spacing w:line="259" w:lineRule="auto"/>
              <w:ind w:left="87"/>
              <w:jc w:val="center"/>
              <w:rPr>
                <w:spacing w:val="-5"/>
                <w:lang w:eastAsia="en-US"/>
              </w:rPr>
            </w:pPr>
            <w:r w:rsidRPr="00163139">
              <w:rPr>
                <w:spacing w:val="-5"/>
                <w:sz w:val="21"/>
                <w:lang w:eastAsia="en-US"/>
              </w:rPr>
              <w:t>-</w:t>
            </w:r>
          </w:p>
        </w:tc>
      </w:tr>
      <w:tr w:rsidR="00163139" w:rsidRPr="00163139" w14:paraId="6663AF6E" w14:textId="77777777" w:rsidTr="0061569A">
        <w:trPr>
          <w:trHeight w:val="260"/>
        </w:trPr>
        <w:tc>
          <w:tcPr>
            <w:tcW w:w="4818" w:type="dxa"/>
            <w:tcBorders>
              <w:top w:val="single" w:sz="8" w:space="0" w:color="000000"/>
              <w:left w:val="single" w:sz="8" w:space="0" w:color="000000"/>
              <w:bottom w:val="single" w:sz="8" w:space="0" w:color="000000"/>
              <w:right w:val="single" w:sz="8" w:space="0" w:color="000000"/>
            </w:tcBorders>
          </w:tcPr>
          <w:p w14:paraId="0A39272B" w14:textId="77777777" w:rsidR="00163139" w:rsidRPr="00163139" w:rsidRDefault="00163139" w:rsidP="00163139">
            <w:pPr>
              <w:spacing w:line="259" w:lineRule="auto"/>
              <w:rPr>
                <w:spacing w:val="-5"/>
                <w:lang w:eastAsia="en-US"/>
              </w:rPr>
            </w:pPr>
            <w:r w:rsidRPr="00163139">
              <w:rPr>
                <w:spacing w:val="-5"/>
                <w:sz w:val="21"/>
                <w:lang w:eastAsia="en-US"/>
              </w:rPr>
              <w:t>Nationwide Building Society</w:t>
            </w:r>
          </w:p>
        </w:tc>
        <w:tc>
          <w:tcPr>
            <w:tcW w:w="1168" w:type="dxa"/>
            <w:tcBorders>
              <w:top w:val="single" w:sz="8" w:space="0" w:color="000000"/>
              <w:left w:val="single" w:sz="8" w:space="0" w:color="000000"/>
              <w:bottom w:val="single" w:sz="8" w:space="0" w:color="000000"/>
              <w:right w:val="single" w:sz="8" w:space="0" w:color="000000"/>
            </w:tcBorders>
          </w:tcPr>
          <w:p w14:paraId="4DA04FDF" w14:textId="77777777" w:rsidR="00163139" w:rsidRPr="00163139" w:rsidRDefault="00163139" w:rsidP="00163139">
            <w:pPr>
              <w:spacing w:line="259" w:lineRule="auto"/>
              <w:ind w:left="85"/>
              <w:jc w:val="center"/>
              <w:rPr>
                <w:spacing w:val="-5"/>
                <w:lang w:eastAsia="en-US"/>
              </w:rPr>
            </w:pPr>
            <w:r w:rsidRPr="00163139">
              <w:rPr>
                <w:spacing w:val="-5"/>
                <w:sz w:val="21"/>
                <w:lang w:eastAsia="en-US"/>
              </w:rPr>
              <w:t>GBR</w:t>
            </w:r>
          </w:p>
        </w:tc>
        <w:tc>
          <w:tcPr>
            <w:tcW w:w="1102" w:type="dxa"/>
            <w:tcBorders>
              <w:top w:val="single" w:sz="8" w:space="0" w:color="000000"/>
              <w:left w:val="single" w:sz="8" w:space="0" w:color="000000"/>
              <w:bottom w:val="single" w:sz="8" w:space="0" w:color="000000"/>
              <w:right w:val="single" w:sz="8" w:space="0" w:color="000000"/>
            </w:tcBorders>
          </w:tcPr>
          <w:p w14:paraId="1A250125" w14:textId="77777777" w:rsidR="00163139" w:rsidRPr="00163139" w:rsidRDefault="00163139" w:rsidP="00163139">
            <w:pPr>
              <w:spacing w:line="259" w:lineRule="auto"/>
              <w:ind w:left="85"/>
              <w:jc w:val="center"/>
              <w:rPr>
                <w:spacing w:val="-5"/>
                <w:lang w:eastAsia="en-US"/>
              </w:rPr>
            </w:pPr>
            <w:r w:rsidRPr="00163139">
              <w:rPr>
                <w:spacing w:val="-5"/>
                <w:sz w:val="21"/>
                <w:lang w:eastAsia="en-US"/>
              </w:rPr>
              <w:t>40.0</w:t>
            </w:r>
          </w:p>
        </w:tc>
        <w:tc>
          <w:tcPr>
            <w:tcW w:w="1101" w:type="dxa"/>
            <w:tcBorders>
              <w:top w:val="single" w:sz="8" w:space="0" w:color="000000"/>
              <w:left w:val="single" w:sz="8" w:space="0" w:color="000000"/>
              <w:bottom w:val="single" w:sz="8" w:space="0" w:color="000000"/>
              <w:right w:val="single" w:sz="8" w:space="0" w:color="000000"/>
            </w:tcBorders>
          </w:tcPr>
          <w:p w14:paraId="18A9A7D5" w14:textId="77777777" w:rsidR="00163139" w:rsidRPr="00163139" w:rsidRDefault="00163139" w:rsidP="00163139">
            <w:pPr>
              <w:spacing w:line="259" w:lineRule="auto"/>
              <w:ind w:left="91"/>
              <w:rPr>
                <w:spacing w:val="-5"/>
                <w:lang w:eastAsia="en-US"/>
              </w:rPr>
            </w:pPr>
            <w:r w:rsidRPr="00163139">
              <w:rPr>
                <w:spacing w:val="-5"/>
                <w:sz w:val="21"/>
                <w:lang w:eastAsia="en-US"/>
              </w:rPr>
              <w:t>6 months</w:t>
            </w:r>
          </w:p>
        </w:tc>
        <w:tc>
          <w:tcPr>
            <w:tcW w:w="1101" w:type="dxa"/>
            <w:tcBorders>
              <w:top w:val="single" w:sz="8" w:space="0" w:color="000000"/>
              <w:left w:val="single" w:sz="8" w:space="0" w:color="000000"/>
              <w:bottom w:val="single" w:sz="8" w:space="0" w:color="000000"/>
              <w:right w:val="single" w:sz="8" w:space="0" w:color="000000"/>
            </w:tcBorders>
          </w:tcPr>
          <w:p w14:paraId="3F98637B" w14:textId="77777777" w:rsidR="00163139" w:rsidRPr="00163139" w:rsidRDefault="00163139" w:rsidP="00163139">
            <w:pPr>
              <w:spacing w:line="259" w:lineRule="auto"/>
              <w:ind w:left="88"/>
              <w:jc w:val="center"/>
              <w:rPr>
                <w:spacing w:val="-5"/>
                <w:lang w:eastAsia="en-US"/>
              </w:rPr>
            </w:pPr>
            <w:r w:rsidRPr="00163139">
              <w:rPr>
                <w:spacing w:val="-5"/>
                <w:sz w:val="21"/>
                <w:lang w:eastAsia="en-US"/>
              </w:rPr>
              <w:t>-</w:t>
            </w:r>
          </w:p>
        </w:tc>
        <w:tc>
          <w:tcPr>
            <w:tcW w:w="1101" w:type="dxa"/>
            <w:tcBorders>
              <w:top w:val="single" w:sz="8" w:space="0" w:color="000000"/>
              <w:left w:val="single" w:sz="8" w:space="0" w:color="000000"/>
              <w:bottom w:val="single" w:sz="8" w:space="0" w:color="000000"/>
              <w:right w:val="single" w:sz="8" w:space="0" w:color="000000"/>
            </w:tcBorders>
          </w:tcPr>
          <w:p w14:paraId="542D3C00" w14:textId="77777777" w:rsidR="00163139" w:rsidRPr="00163139" w:rsidRDefault="00163139" w:rsidP="00163139">
            <w:pPr>
              <w:spacing w:line="259" w:lineRule="auto"/>
              <w:ind w:left="87"/>
              <w:jc w:val="center"/>
              <w:rPr>
                <w:spacing w:val="-5"/>
                <w:lang w:eastAsia="en-US"/>
              </w:rPr>
            </w:pPr>
            <w:r w:rsidRPr="00163139">
              <w:rPr>
                <w:spacing w:val="-5"/>
                <w:sz w:val="21"/>
                <w:lang w:eastAsia="en-US"/>
              </w:rPr>
              <w:t>-</w:t>
            </w:r>
          </w:p>
        </w:tc>
      </w:tr>
      <w:tr w:rsidR="00163139" w:rsidRPr="00163139" w14:paraId="62A656F0" w14:textId="77777777" w:rsidTr="0061569A">
        <w:trPr>
          <w:trHeight w:val="260"/>
        </w:trPr>
        <w:tc>
          <w:tcPr>
            <w:tcW w:w="4818" w:type="dxa"/>
            <w:tcBorders>
              <w:top w:val="single" w:sz="8" w:space="0" w:color="000000"/>
              <w:left w:val="single" w:sz="8" w:space="0" w:color="000000"/>
              <w:bottom w:val="single" w:sz="8" w:space="0" w:color="000000"/>
              <w:right w:val="single" w:sz="8" w:space="0" w:color="000000"/>
            </w:tcBorders>
          </w:tcPr>
          <w:p w14:paraId="194DEA3A" w14:textId="77777777" w:rsidR="00163139" w:rsidRPr="00163139" w:rsidRDefault="00163139" w:rsidP="00163139">
            <w:pPr>
              <w:spacing w:line="259" w:lineRule="auto"/>
              <w:rPr>
                <w:spacing w:val="-5"/>
                <w:lang w:eastAsia="en-US"/>
              </w:rPr>
            </w:pPr>
            <w:r w:rsidRPr="00163139">
              <w:rPr>
                <w:spacing w:val="-5"/>
                <w:sz w:val="21"/>
                <w:lang w:eastAsia="en-US"/>
              </w:rPr>
              <w:t>Leeds Building Society</w:t>
            </w:r>
          </w:p>
        </w:tc>
        <w:tc>
          <w:tcPr>
            <w:tcW w:w="1168" w:type="dxa"/>
            <w:tcBorders>
              <w:top w:val="single" w:sz="8" w:space="0" w:color="000000"/>
              <w:left w:val="single" w:sz="8" w:space="0" w:color="000000"/>
              <w:bottom w:val="single" w:sz="8" w:space="0" w:color="000000"/>
              <w:right w:val="single" w:sz="8" w:space="0" w:color="000000"/>
            </w:tcBorders>
          </w:tcPr>
          <w:p w14:paraId="5D1F6FB0" w14:textId="77777777" w:rsidR="00163139" w:rsidRPr="00163139" w:rsidRDefault="00163139" w:rsidP="00163139">
            <w:pPr>
              <w:spacing w:line="259" w:lineRule="auto"/>
              <w:ind w:left="85"/>
              <w:jc w:val="center"/>
              <w:rPr>
                <w:spacing w:val="-5"/>
                <w:lang w:eastAsia="en-US"/>
              </w:rPr>
            </w:pPr>
            <w:r w:rsidRPr="00163139">
              <w:rPr>
                <w:spacing w:val="-5"/>
                <w:sz w:val="21"/>
                <w:lang w:eastAsia="en-US"/>
              </w:rPr>
              <w:t>GBR</w:t>
            </w:r>
          </w:p>
        </w:tc>
        <w:tc>
          <w:tcPr>
            <w:tcW w:w="1102" w:type="dxa"/>
            <w:tcBorders>
              <w:top w:val="single" w:sz="8" w:space="0" w:color="000000"/>
              <w:left w:val="single" w:sz="8" w:space="0" w:color="000000"/>
              <w:bottom w:val="single" w:sz="8" w:space="0" w:color="000000"/>
              <w:right w:val="single" w:sz="8" w:space="0" w:color="000000"/>
            </w:tcBorders>
          </w:tcPr>
          <w:p w14:paraId="1A0C8AC2" w14:textId="77777777" w:rsidR="00163139" w:rsidRPr="00163139" w:rsidRDefault="00163139" w:rsidP="00163139">
            <w:pPr>
              <w:spacing w:line="259" w:lineRule="auto"/>
              <w:ind w:left="85"/>
              <w:jc w:val="center"/>
              <w:rPr>
                <w:spacing w:val="-5"/>
                <w:lang w:eastAsia="en-US"/>
              </w:rPr>
            </w:pPr>
            <w:r w:rsidRPr="00163139">
              <w:rPr>
                <w:spacing w:val="-5"/>
                <w:sz w:val="21"/>
                <w:lang w:eastAsia="en-US"/>
              </w:rPr>
              <w:t>40.0</w:t>
            </w:r>
          </w:p>
        </w:tc>
        <w:tc>
          <w:tcPr>
            <w:tcW w:w="1101" w:type="dxa"/>
            <w:tcBorders>
              <w:top w:val="single" w:sz="8" w:space="0" w:color="000000"/>
              <w:left w:val="single" w:sz="8" w:space="0" w:color="000000"/>
              <w:bottom w:val="single" w:sz="8" w:space="0" w:color="000000"/>
              <w:right w:val="single" w:sz="8" w:space="0" w:color="000000"/>
            </w:tcBorders>
          </w:tcPr>
          <w:p w14:paraId="6E33E374" w14:textId="77777777" w:rsidR="00163139" w:rsidRPr="00163139" w:rsidRDefault="00163139" w:rsidP="00163139">
            <w:pPr>
              <w:spacing w:line="259" w:lineRule="auto"/>
              <w:ind w:left="91"/>
              <w:rPr>
                <w:spacing w:val="-5"/>
                <w:lang w:eastAsia="en-US"/>
              </w:rPr>
            </w:pPr>
            <w:r w:rsidRPr="00163139">
              <w:rPr>
                <w:spacing w:val="-5"/>
                <w:sz w:val="21"/>
                <w:lang w:eastAsia="en-US"/>
              </w:rPr>
              <w:t>3 months</w:t>
            </w:r>
          </w:p>
        </w:tc>
        <w:tc>
          <w:tcPr>
            <w:tcW w:w="1101" w:type="dxa"/>
            <w:tcBorders>
              <w:top w:val="single" w:sz="8" w:space="0" w:color="000000"/>
              <w:left w:val="single" w:sz="8" w:space="0" w:color="000000"/>
              <w:bottom w:val="single" w:sz="8" w:space="0" w:color="000000"/>
              <w:right w:val="single" w:sz="8" w:space="0" w:color="000000"/>
            </w:tcBorders>
          </w:tcPr>
          <w:p w14:paraId="57A9D512" w14:textId="77777777" w:rsidR="00163139" w:rsidRPr="00163139" w:rsidRDefault="00163139" w:rsidP="00163139">
            <w:pPr>
              <w:spacing w:line="259" w:lineRule="auto"/>
              <w:ind w:left="88"/>
              <w:jc w:val="center"/>
              <w:rPr>
                <w:spacing w:val="-5"/>
                <w:lang w:eastAsia="en-US"/>
              </w:rPr>
            </w:pPr>
            <w:r w:rsidRPr="00163139">
              <w:rPr>
                <w:spacing w:val="-5"/>
                <w:sz w:val="21"/>
                <w:lang w:eastAsia="en-US"/>
              </w:rPr>
              <w:t>-</w:t>
            </w:r>
          </w:p>
        </w:tc>
        <w:tc>
          <w:tcPr>
            <w:tcW w:w="1101" w:type="dxa"/>
            <w:tcBorders>
              <w:top w:val="single" w:sz="8" w:space="0" w:color="000000"/>
              <w:left w:val="single" w:sz="8" w:space="0" w:color="000000"/>
              <w:bottom w:val="single" w:sz="8" w:space="0" w:color="000000"/>
              <w:right w:val="single" w:sz="8" w:space="0" w:color="000000"/>
            </w:tcBorders>
          </w:tcPr>
          <w:p w14:paraId="295FFE2A" w14:textId="77777777" w:rsidR="00163139" w:rsidRPr="00163139" w:rsidRDefault="00163139" w:rsidP="00163139">
            <w:pPr>
              <w:spacing w:line="259" w:lineRule="auto"/>
              <w:ind w:left="87"/>
              <w:jc w:val="center"/>
              <w:rPr>
                <w:spacing w:val="-5"/>
                <w:lang w:eastAsia="en-US"/>
              </w:rPr>
            </w:pPr>
            <w:r w:rsidRPr="00163139">
              <w:rPr>
                <w:spacing w:val="-5"/>
                <w:sz w:val="21"/>
                <w:lang w:eastAsia="en-US"/>
              </w:rPr>
              <w:t>-</w:t>
            </w:r>
          </w:p>
        </w:tc>
      </w:tr>
      <w:tr w:rsidR="00163139" w:rsidRPr="00163139" w14:paraId="7AADD916" w14:textId="77777777" w:rsidTr="0061569A">
        <w:trPr>
          <w:trHeight w:val="260"/>
        </w:trPr>
        <w:tc>
          <w:tcPr>
            <w:tcW w:w="4818" w:type="dxa"/>
            <w:tcBorders>
              <w:top w:val="single" w:sz="8" w:space="0" w:color="000000"/>
              <w:left w:val="single" w:sz="8" w:space="0" w:color="000000"/>
              <w:bottom w:val="single" w:sz="8" w:space="0" w:color="000000"/>
              <w:right w:val="single" w:sz="8" w:space="0" w:color="000000"/>
            </w:tcBorders>
          </w:tcPr>
          <w:p w14:paraId="2262328B" w14:textId="77777777" w:rsidR="00163139" w:rsidRPr="00163139" w:rsidRDefault="00163139" w:rsidP="00163139">
            <w:pPr>
              <w:spacing w:line="259" w:lineRule="auto"/>
              <w:rPr>
                <w:spacing w:val="-5"/>
                <w:lang w:eastAsia="en-US"/>
              </w:rPr>
            </w:pPr>
            <w:r w:rsidRPr="00163139">
              <w:rPr>
                <w:spacing w:val="-5"/>
                <w:sz w:val="21"/>
                <w:lang w:eastAsia="en-US"/>
              </w:rPr>
              <w:t>Coventry Building Society</w:t>
            </w:r>
          </w:p>
        </w:tc>
        <w:tc>
          <w:tcPr>
            <w:tcW w:w="1168" w:type="dxa"/>
            <w:tcBorders>
              <w:top w:val="single" w:sz="8" w:space="0" w:color="000000"/>
              <w:left w:val="single" w:sz="8" w:space="0" w:color="000000"/>
              <w:bottom w:val="single" w:sz="8" w:space="0" w:color="000000"/>
              <w:right w:val="single" w:sz="8" w:space="0" w:color="000000"/>
            </w:tcBorders>
          </w:tcPr>
          <w:p w14:paraId="2C39D3EA" w14:textId="77777777" w:rsidR="00163139" w:rsidRPr="00163139" w:rsidRDefault="00163139" w:rsidP="00163139">
            <w:pPr>
              <w:spacing w:line="259" w:lineRule="auto"/>
              <w:ind w:left="85"/>
              <w:jc w:val="center"/>
              <w:rPr>
                <w:spacing w:val="-5"/>
                <w:lang w:eastAsia="en-US"/>
              </w:rPr>
            </w:pPr>
            <w:r w:rsidRPr="00163139">
              <w:rPr>
                <w:spacing w:val="-5"/>
                <w:sz w:val="21"/>
                <w:lang w:eastAsia="en-US"/>
              </w:rPr>
              <w:t>GBR</w:t>
            </w:r>
          </w:p>
        </w:tc>
        <w:tc>
          <w:tcPr>
            <w:tcW w:w="1102" w:type="dxa"/>
            <w:tcBorders>
              <w:top w:val="single" w:sz="8" w:space="0" w:color="000000"/>
              <w:left w:val="single" w:sz="8" w:space="0" w:color="000000"/>
              <w:bottom w:val="single" w:sz="8" w:space="0" w:color="000000"/>
              <w:right w:val="single" w:sz="8" w:space="0" w:color="000000"/>
            </w:tcBorders>
          </w:tcPr>
          <w:p w14:paraId="4183948B" w14:textId="77777777" w:rsidR="00163139" w:rsidRPr="00163139" w:rsidRDefault="00163139" w:rsidP="00163139">
            <w:pPr>
              <w:spacing w:line="259" w:lineRule="auto"/>
              <w:ind w:left="85"/>
              <w:jc w:val="center"/>
              <w:rPr>
                <w:spacing w:val="-5"/>
                <w:lang w:eastAsia="en-US"/>
              </w:rPr>
            </w:pPr>
            <w:r w:rsidRPr="00163139">
              <w:rPr>
                <w:spacing w:val="-5"/>
                <w:sz w:val="21"/>
                <w:lang w:eastAsia="en-US"/>
              </w:rPr>
              <w:t>40.0</w:t>
            </w:r>
          </w:p>
        </w:tc>
        <w:tc>
          <w:tcPr>
            <w:tcW w:w="1101" w:type="dxa"/>
            <w:tcBorders>
              <w:top w:val="single" w:sz="8" w:space="0" w:color="000000"/>
              <w:left w:val="single" w:sz="8" w:space="0" w:color="000000"/>
              <w:bottom w:val="single" w:sz="8" w:space="0" w:color="000000"/>
              <w:right w:val="single" w:sz="8" w:space="0" w:color="000000"/>
            </w:tcBorders>
          </w:tcPr>
          <w:p w14:paraId="6FE67ED8" w14:textId="77777777" w:rsidR="00163139" w:rsidRPr="00163139" w:rsidRDefault="00163139" w:rsidP="00163139">
            <w:pPr>
              <w:spacing w:line="259" w:lineRule="auto"/>
              <w:ind w:left="91"/>
              <w:rPr>
                <w:spacing w:val="-5"/>
                <w:lang w:eastAsia="en-US"/>
              </w:rPr>
            </w:pPr>
            <w:r w:rsidRPr="00163139">
              <w:rPr>
                <w:spacing w:val="-5"/>
                <w:sz w:val="21"/>
                <w:lang w:eastAsia="en-US"/>
              </w:rPr>
              <w:t>3 months</w:t>
            </w:r>
          </w:p>
        </w:tc>
        <w:tc>
          <w:tcPr>
            <w:tcW w:w="1101" w:type="dxa"/>
            <w:tcBorders>
              <w:top w:val="single" w:sz="8" w:space="0" w:color="000000"/>
              <w:left w:val="single" w:sz="8" w:space="0" w:color="000000"/>
              <w:bottom w:val="single" w:sz="8" w:space="0" w:color="000000"/>
              <w:right w:val="single" w:sz="8" w:space="0" w:color="000000"/>
            </w:tcBorders>
          </w:tcPr>
          <w:p w14:paraId="789D2950" w14:textId="77777777" w:rsidR="00163139" w:rsidRPr="00163139" w:rsidRDefault="00163139" w:rsidP="00163139">
            <w:pPr>
              <w:spacing w:line="259" w:lineRule="auto"/>
              <w:ind w:left="88"/>
              <w:jc w:val="center"/>
              <w:rPr>
                <w:spacing w:val="-5"/>
                <w:lang w:eastAsia="en-US"/>
              </w:rPr>
            </w:pPr>
            <w:r w:rsidRPr="00163139">
              <w:rPr>
                <w:spacing w:val="-5"/>
                <w:sz w:val="21"/>
                <w:lang w:eastAsia="en-US"/>
              </w:rPr>
              <w:t>-</w:t>
            </w:r>
          </w:p>
        </w:tc>
        <w:tc>
          <w:tcPr>
            <w:tcW w:w="1101" w:type="dxa"/>
            <w:tcBorders>
              <w:top w:val="single" w:sz="8" w:space="0" w:color="000000"/>
              <w:left w:val="single" w:sz="8" w:space="0" w:color="000000"/>
              <w:bottom w:val="single" w:sz="8" w:space="0" w:color="000000"/>
              <w:right w:val="single" w:sz="8" w:space="0" w:color="000000"/>
            </w:tcBorders>
          </w:tcPr>
          <w:p w14:paraId="4046E437" w14:textId="77777777" w:rsidR="00163139" w:rsidRPr="00163139" w:rsidRDefault="00163139" w:rsidP="00163139">
            <w:pPr>
              <w:spacing w:line="259" w:lineRule="auto"/>
              <w:ind w:left="87"/>
              <w:jc w:val="center"/>
              <w:rPr>
                <w:spacing w:val="-5"/>
                <w:lang w:eastAsia="en-US"/>
              </w:rPr>
            </w:pPr>
            <w:r w:rsidRPr="00163139">
              <w:rPr>
                <w:spacing w:val="-5"/>
                <w:sz w:val="21"/>
                <w:lang w:eastAsia="en-US"/>
              </w:rPr>
              <w:t>-</w:t>
            </w:r>
          </w:p>
        </w:tc>
      </w:tr>
      <w:tr w:rsidR="00163139" w:rsidRPr="00163139" w14:paraId="5C63E0C3" w14:textId="77777777" w:rsidTr="0061569A">
        <w:trPr>
          <w:trHeight w:val="251"/>
        </w:trPr>
        <w:tc>
          <w:tcPr>
            <w:tcW w:w="5986" w:type="dxa"/>
            <w:gridSpan w:val="2"/>
            <w:tcBorders>
              <w:top w:val="single" w:sz="8" w:space="0" w:color="000000"/>
              <w:left w:val="single" w:sz="8" w:space="0" w:color="000000"/>
              <w:bottom w:val="single" w:sz="8" w:space="0" w:color="000000"/>
              <w:right w:val="nil"/>
            </w:tcBorders>
            <w:vAlign w:val="bottom"/>
          </w:tcPr>
          <w:p w14:paraId="7A6E094A" w14:textId="77777777" w:rsidR="00163139" w:rsidRPr="00163139" w:rsidRDefault="00163139" w:rsidP="00163139">
            <w:pPr>
              <w:spacing w:line="259" w:lineRule="auto"/>
              <w:rPr>
                <w:spacing w:val="-5"/>
                <w:lang w:eastAsia="en-US"/>
              </w:rPr>
            </w:pPr>
            <w:r w:rsidRPr="00163139">
              <w:rPr>
                <w:b/>
                <w:spacing w:val="-5"/>
                <w:sz w:val="21"/>
                <w:lang w:eastAsia="en-US"/>
              </w:rPr>
              <w:t>High Quality Foreign Banks</w:t>
            </w:r>
          </w:p>
        </w:tc>
        <w:tc>
          <w:tcPr>
            <w:tcW w:w="2203" w:type="dxa"/>
            <w:gridSpan w:val="2"/>
            <w:tcBorders>
              <w:top w:val="single" w:sz="8" w:space="0" w:color="000000"/>
              <w:left w:val="nil"/>
              <w:bottom w:val="single" w:sz="8" w:space="0" w:color="000000"/>
              <w:right w:val="nil"/>
            </w:tcBorders>
          </w:tcPr>
          <w:p w14:paraId="6A675617" w14:textId="77777777" w:rsidR="00163139" w:rsidRPr="00163139" w:rsidRDefault="00163139" w:rsidP="00163139">
            <w:pPr>
              <w:spacing w:line="259" w:lineRule="auto"/>
              <w:rPr>
                <w:spacing w:val="-5"/>
                <w:lang w:eastAsia="en-US"/>
              </w:rPr>
            </w:pPr>
          </w:p>
        </w:tc>
        <w:tc>
          <w:tcPr>
            <w:tcW w:w="2202" w:type="dxa"/>
            <w:gridSpan w:val="2"/>
            <w:tcBorders>
              <w:top w:val="single" w:sz="8" w:space="0" w:color="000000"/>
              <w:left w:val="nil"/>
              <w:bottom w:val="single" w:sz="8" w:space="0" w:color="000000"/>
              <w:right w:val="single" w:sz="8" w:space="0" w:color="000000"/>
            </w:tcBorders>
          </w:tcPr>
          <w:p w14:paraId="195E9416" w14:textId="77777777" w:rsidR="00163139" w:rsidRPr="00163139" w:rsidRDefault="00163139" w:rsidP="00163139">
            <w:pPr>
              <w:spacing w:line="259" w:lineRule="auto"/>
              <w:rPr>
                <w:spacing w:val="-5"/>
                <w:lang w:eastAsia="en-US"/>
              </w:rPr>
            </w:pPr>
          </w:p>
        </w:tc>
      </w:tr>
      <w:tr w:rsidR="00163139" w:rsidRPr="00163139" w14:paraId="50625B2F" w14:textId="77777777" w:rsidTr="0061569A">
        <w:trPr>
          <w:trHeight w:val="260"/>
        </w:trPr>
        <w:tc>
          <w:tcPr>
            <w:tcW w:w="4818" w:type="dxa"/>
            <w:tcBorders>
              <w:top w:val="single" w:sz="8" w:space="0" w:color="000000"/>
              <w:left w:val="single" w:sz="8" w:space="0" w:color="000000"/>
              <w:bottom w:val="single" w:sz="8" w:space="0" w:color="000000"/>
              <w:right w:val="single" w:sz="8" w:space="0" w:color="000000"/>
            </w:tcBorders>
          </w:tcPr>
          <w:p w14:paraId="7EB291B2" w14:textId="77777777" w:rsidR="00163139" w:rsidRPr="00163139" w:rsidRDefault="00163139" w:rsidP="00163139">
            <w:pPr>
              <w:spacing w:line="259" w:lineRule="auto"/>
              <w:rPr>
                <w:spacing w:val="-5"/>
                <w:lang w:eastAsia="en-US"/>
              </w:rPr>
            </w:pPr>
            <w:r w:rsidRPr="00163139">
              <w:rPr>
                <w:spacing w:val="-5"/>
                <w:sz w:val="21"/>
                <w:lang w:eastAsia="en-US"/>
              </w:rPr>
              <w:t>National Australia Bank</w:t>
            </w:r>
          </w:p>
        </w:tc>
        <w:tc>
          <w:tcPr>
            <w:tcW w:w="1168" w:type="dxa"/>
            <w:tcBorders>
              <w:top w:val="single" w:sz="8" w:space="0" w:color="000000"/>
              <w:left w:val="single" w:sz="8" w:space="0" w:color="000000"/>
              <w:bottom w:val="single" w:sz="8" w:space="0" w:color="000000"/>
              <w:right w:val="single" w:sz="8" w:space="0" w:color="000000"/>
            </w:tcBorders>
          </w:tcPr>
          <w:p w14:paraId="238C5958" w14:textId="77777777" w:rsidR="00163139" w:rsidRPr="00163139" w:rsidRDefault="00163139" w:rsidP="00163139">
            <w:pPr>
              <w:spacing w:line="259" w:lineRule="auto"/>
              <w:ind w:left="86"/>
              <w:jc w:val="center"/>
              <w:rPr>
                <w:spacing w:val="-5"/>
                <w:lang w:eastAsia="en-US"/>
              </w:rPr>
            </w:pPr>
            <w:r w:rsidRPr="00163139">
              <w:rPr>
                <w:spacing w:val="-5"/>
                <w:sz w:val="21"/>
                <w:lang w:eastAsia="en-US"/>
              </w:rPr>
              <w:t>AUS</w:t>
            </w:r>
          </w:p>
        </w:tc>
        <w:tc>
          <w:tcPr>
            <w:tcW w:w="1102" w:type="dxa"/>
            <w:tcBorders>
              <w:top w:val="single" w:sz="8" w:space="0" w:color="000000"/>
              <w:left w:val="single" w:sz="8" w:space="0" w:color="000000"/>
              <w:bottom w:val="single" w:sz="8" w:space="0" w:color="000000"/>
              <w:right w:val="single" w:sz="8" w:space="0" w:color="000000"/>
            </w:tcBorders>
          </w:tcPr>
          <w:p w14:paraId="5A4C4C39" w14:textId="77777777" w:rsidR="00163139" w:rsidRPr="00163139" w:rsidRDefault="00163139" w:rsidP="00163139">
            <w:pPr>
              <w:spacing w:line="259" w:lineRule="auto"/>
              <w:ind w:left="85"/>
              <w:jc w:val="center"/>
              <w:rPr>
                <w:spacing w:val="-5"/>
                <w:lang w:eastAsia="en-US"/>
              </w:rPr>
            </w:pPr>
            <w:r w:rsidRPr="00163139">
              <w:rPr>
                <w:spacing w:val="-5"/>
                <w:sz w:val="21"/>
                <w:lang w:eastAsia="en-US"/>
              </w:rPr>
              <w:t>40.0</w:t>
            </w:r>
          </w:p>
        </w:tc>
        <w:tc>
          <w:tcPr>
            <w:tcW w:w="1101" w:type="dxa"/>
            <w:tcBorders>
              <w:top w:val="single" w:sz="8" w:space="0" w:color="000000"/>
              <w:left w:val="single" w:sz="8" w:space="0" w:color="000000"/>
              <w:bottom w:val="single" w:sz="8" w:space="0" w:color="000000"/>
              <w:right w:val="single" w:sz="8" w:space="0" w:color="000000"/>
            </w:tcBorders>
          </w:tcPr>
          <w:p w14:paraId="3C151CF2" w14:textId="77777777" w:rsidR="00163139" w:rsidRPr="00163139" w:rsidRDefault="00163139" w:rsidP="00163139">
            <w:pPr>
              <w:spacing w:line="259" w:lineRule="auto"/>
              <w:ind w:left="104"/>
              <w:rPr>
                <w:spacing w:val="-5"/>
                <w:lang w:eastAsia="en-US"/>
              </w:rPr>
            </w:pPr>
            <w:r w:rsidRPr="00163139">
              <w:rPr>
                <w:spacing w:val="-5"/>
                <w:sz w:val="21"/>
                <w:lang w:eastAsia="en-US"/>
              </w:rPr>
              <w:t>365 days</w:t>
            </w:r>
          </w:p>
        </w:tc>
        <w:tc>
          <w:tcPr>
            <w:tcW w:w="1101" w:type="dxa"/>
            <w:tcBorders>
              <w:top w:val="single" w:sz="8" w:space="0" w:color="000000"/>
              <w:left w:val="single" w:sz="8" w:space="0" w:color="000000"/>
              <w:bottom w:val="single" w:sz="8" w:space="0" w:color="000000"/>
              <w:right w:val="single" w:sz="8" w:space="0" w:color="000000"/>
            </w:tcBorders>
          </w:tcPr>
          <w:p w14:paraId="11043B85" w14:textId="77777777" w:rsidR="00163139" w:rsidRPr="00163139" w:rsidRDefault="00163139" w:rsidP="00163139">
            <w:pPr>
              <w:spacing w:line="259" w:lineRule="auto"/>
              <w:ind w:left="88"/>
              <w:jc w:val="center"/>
              <w:rPr>
                <w:spacing w:val="-5"/>
                <w:lang w:eastAsia="en-US"/>
              </w:rPr>
            </w:pPr>
            <w:r w:rsidRPr="00163139">
              <w:rPr>
                <w:spacing w:val="-5"/>
                <w:sz w:val="21"/>
                <w:lang w:eastAsia="en-US"/>
              </w:rPr>
              <w:t>-</w:t>
            </w:r>
          </w:p>
        </w:tc>
        <w:tc>
          <w:tcPr>
            <w:tcW w:w="1101" w:type="dxa"/>
            <w:tcBorders>
              <w:top w:val="single" w:sz="8" w:space="0" w:color="000000"/>
              <w:left w:val="single" w:sz="8" w:space="0" w:color="000000"/>
              <w:bottom w:val="single" w:sz="8" w:space="0" w:color="000000"/>
              <w:right w:val="single" w:sz="8" w:space="0" w:color="000000"/>
            </w:tcBorders>
          </w:tcPr>
          <w:p w14:paraId="6A6C1B5B" w14:textId="77777777" w:rsidR="00163139" w:rsidRPr="00163139" w:rsidRDefault="00163139" w:rsidP="00163139">
            <w:pPr>
              <w:spacing w:line="259" w:lineRule="auto"/>
              <w:ind w:left="87"/>
              <w:jc w:val="center"/>
              <w:rPr>
                <w:spacing w:val="-5"/>
                <w:lang w:eastAsia="en-US"/>
              </w:rPr>
            </w:pPr>
            <w:r w:rsidRPr="00163139">
              <w:rPr>
                <w:spacing w:val="-5"/>
                <w:sz w:val="21"/>
                <w:lang w:eastAsia="en-US"/>
              </w:rPr>
              <w:t>-</w:t>
            </w:r>
          </w:p>
        </w:tc>
      </w:tr>
      <w:tr w:rsidR="00163139" w:rsidRPr="00163139" w14:paraId="60EA2D96" w14:textId="77777777" w:rsidTr="0061569A">
        <w:trPr>
          <w:trHeight w:val="260"/>
        </w:trPr>
        <w:tc>
          <w:tcPr>
            <w:tcW w:w="4818" w:type="dxa"/>
            <w:tcBorders>
              <w:top w:val="single" w:sz="8" w:space="0" w:color="000000"/>
              <w:left w:val="single" w:sz="8" w:space="0" w:color="000000"/>
              <w:bottom w:val="single" w:sz="8" w:space="0" w:color="000000"/>
              <w:right w:val="single" w:sz="8" w:space="0" w:color="000000"/>
            </w:tcBorders>
          </w:tcPr>
          <w:p w14:paraId="6850EDD8" w14:textId="77777777" w:rsidR="00163139" w:rsidRPr="00163139" w:rsidRDefault="00163139" w:rsidP="00163139">
            <w:pPr>
              <w:spacing w:line="259" w:lineRule="auto"/>
              <w:rPr>
                <w:spacing w:val="-5"/>
                <w:lang w:eastAsia="en-US"/>
              </w:rPr>
            </w:pPr>
            <w:r w:rsidRPr="00163139">
              <w:rPr>
                <w:spacing w:val="-5"/>
                <w:sz w:val="21"/>
                <w:lang w:eastAsia="en-US"/>
              </w:rPr>
              <w:t xml:space="preserve">Credit </w:t>
            </w:r>
            <w:proofErr w:type="spellStart"/>
            <w:r w:rsidRPr="00163139">
              <w:rPr>
                <w:spacing w:val="-5"/>
                <w:sz w:val="21"/>
                <w:lang w:eastAsia="en-US"/>
              </w:rPr>
              <w:t>Industriel</w:t>
            </w:r>
            <w:proofErr w:type="spellEnd"/>
            <w:r w:rsidRPr="00163139">
              <w:rPr>
                <w:spacing w:val="-5"/>
                <w:sz w:val="21"/>
                <w:lang w:eastAsia="en-US"/>
              </w:rPr>
              <w:t xml:space="preserve"> et Commercial</w:t>
            </w:r>
          </w:p>
        </w:tc>
        <w:tc>
          <w:tcPr>
            <w:tcW w:w="1168" w:type="dxa"/>
            <w:tcBorders>
              <w:top w:val="single" w:sz="8" w:space="0" w:color="000000"/>
              <w:left w:val="single" w:sz="8" w:space="0" w:color="000000"/>
              <w:bottom w:val="single" w:sz="8" w:space="0" w:color="000000"/>
              <w:right w:val="single" w:sz="8" w:space="0" w:color="000000"/>
            </w:tcBorders>
          </w:tcPr>
          <w:p w14:paraId="03C15429" w14:textId="77777777" w:rsidR="00163139" w:rsidRPr="00163139" w:rsidRDefault="00163139" w:rsidP="00163139">
            <w:pPr>
              <w:spacing w:line="259" w:lineRule="auto"/>
              <w:ind w:left="86"/>
              <w:jc w:val="center"/>
              <w:rPr>
                <w:spacing w:val="-5"/>
                <w:lang w:eastAsia="en-US"/>
              </w:rPr>
            </w:pPr>
            <w:r w:rsidRPr="00163139">
              <w:rPr>
                <w:spacing w:val="-5"/>
                <w:sz w:val="21"/>
                <w:lang w:eastAsia="en-US"/>
              </w:rPr>
              <w:t>FRA</w:t>
            </w:r>
          </w:p>
        </w:tc>
        <w:tc>
          <w:tcPr>
            <w:tcW w:w="1102" w:type="dxa"/>
            <w:tcBorders>
              <w:top w:val="single" w:sz="8" w:space="0" w:color="000000"/>
              <w:left w:val="single" w:sz="8" w:space="0" w:color="000000"/>
              <w:bottom w:val="single" w:sz="8" w:space="0" w:color="000000"/>
              <w:right w:val="single" w:sz="8" w:space="0" w:color="000000"/>
            </w:tcBorders>
          </w:tcPr>
          <w:p w14:paraId="2AC65075" w14:textId="77777777" w:rsidR="00163139" w:rsidRPr="00163139" w:rsidRDefault="00163139" w:rsidP="00163139">
            <w:pPr>
              <w:spacing w:line="259" w:lineRule="auto"/>
              <w:ind w:left="85"/>
              <w:jc w:val="center"/>
              <w:rPr>
                <w:spacing w:val="-5"/>
                <w:lang w:eastAsia="en-US"/>
              </w:rPr>
            </w:pPr>
            <w:r w:rsidRPr="00163139">
              <w:rPr>
                <w:spacing w:val="-5"/>
                <w:sz w:val="21"/>
                <w:lang w:eastAsia="en-US"/>
              </w:rPr>
              <w:t>40.0</w:t>
            </w:r>
          </w:p>
        </w:tc>
        <w:tc>
          <w:tcPr>
            <w:tcW w:w="1101" w:type="dxa"/>
            <w:tcBorders>
              <w:top w:val="single" w:sz="8" w:space="0" w:color="000000"/>
              <w:left w:val="single" w:sz="8" w:space="0" w:color="000000"/>
              <w:bottom w:val="single" w:sz="8" w:space="0" w:color="000000"/>
              <w:right w:val="single" w:sz="8" w:space="0" w:color="000000"/>
            </w:tcBorders>
          </w:tcPr>
          <w:p w14:paraId="15096EC0" w14:textId="77777777" w:rsidR="00163139" w:rsidRPr="00163139" w:rsidRDefault="00163139" w:rsidP="00163139">
            <w:pPr>
              <w:spacing w:line="259" w:lineRule="auto"/>
              <w:ind w:left="104"/>
              <w:rPr>
                <w:spacing w:val="-5"/>
                <w:lang w:eastAsia="en-US"/>
              </w:rPr>
            </w:pPr>
            <w:r w:rsidRPr="00163139">
              <w:rPr>
                <w:spacing w:val="-5"/>
                <w:sz w:val="21"/>
                <w:lang w:eastAsia="en-US"/>
              </w:rPr>
              <w:t>6 months</w:t>
            </w:r>
          </w:p>
        </w:tc>
        <w:tc>
          <w:tcPr>
            <w:tcW w:w="1101" w:type="dxa"/>
            <w:tcBorders>
              <w:top w:val="single" w:sz="8" w:space="0" w:color="000000"/>
              <w:left w:val="single" w:sz="8" w:space="0" w:color="000000"/>
              <w:bottom w:val="single" w:sz="8" w:space="0" w:color="000000"/>
              <w:right w:val="single" w:sz="8" w:space="0" w:color="000000"/>
            </w:tcBorders>
          </w:tcPr>
          <w:p w14:paraId="25EA71DA" w14:textId="77777777" w:rsidR="00163139" w:rsidRPr="00163139" w:rsidRDefault="00163139" w:rsidP="00163139">
            <w:pPr>
              <w:spacing w:line="259" w:lineRule="auto"/>
              <w:ind w:left="88"/>
              <w:jc w:val="center"/>
              <w:rPr>
                <w:spacing w:val="-5"/>
                <w:lang w:eastAsia="en-US"/>
              </w:rPr>
            </w:pPr>
            <w:r w:rsidRPr="00163139">
              <w:rPr>
                <w:spacing w:val="-5"/>
                <w:sz w:val="21"/>
                <w:lang w:eastAsia="en-US"/>
              </w:rPr>
              <w:t>-</w:t>
            </w:r>
          </w:p>
        </w:tc>
        <w:tc>
          <w:tcPr>
            <w:tcW w:w="1101" w:type="dxa"/>
            <w:tcBorders>
              <w:top w:val="single" w:sz="8" w:space="0" w:color="000000"/>
              <w:left w:val="single" w:sz="8" w:space="0" w:color="000000"/>
              <w:bottom w:val="single" w:sz="8" w:space="0" w:color="000000"/>
              <w:right w:val="single" w:sz="8" w:space="0" w:color="000000"/>
            </w:tcBorders>
          </w:tcPr>
          <w:p w14:paraId="2E1E7138" w14:textId="77777777" w:rsidR="00163139" w:rsidRPr="00163139" w:rsidRDefault="00163139" w:rsidP="00163139">
            <w:pPr>
              <w:spacing w:line="259" w:lineRule="auto"/>
              <w:ind w:left="87"/>
              <w:jc w:val="center"/>
              <w:rPr>
                <w:spacing w:val="-5"/>
                <w:lang w:eastAsia="en-US"/>
              </w:rPr>
            </w:pPr>
            <w:r w:rsidRPr="00163139">
              <w:rPr>
                <w:spacing w:val="-5"/>
                <w:sz w:val="21"/>
                <w:lang w:eastAsia="en-US"/>
              </w:rPr>
              <w:t>-</w:t>
            </w:r>
          </w:p>
        </w:tc>
      </w:tr>
      <w:tr w:rsidR="00163139" w:rsidRPr="00163139" w14:paraId="67AC08C9" w14:textId="77777777" w:rsidTr="0061569A">
        <w:trPr>
          <w:trHeight w:val="466"/>
        </w:trPr>
        <w:tc>
          <w:tcPr>
            <w:tcW w:w="4818" w:type="dxa"/>
            <w:tcBorders>
              <w:top w:val="single" w:sz="8" w:space="0" w:color="000000"/>
              <w:left w:val="single" w:sz="8" w:space="0" w:color="000000"/>
              <w:bottom w:val="single" w:sz="8" w:space="0" w:color="000000"/>
              <w:right w:val="single" w:sz="8" w:space="0" w:color="000000"/>
            </w:tcBorders>
          </w:tcPr>
          <w:p w14:paraId="12E3AED5" w14:textId="77777777" w:rsidR="00163139" w:rsidRPr="00163139" w:rsidRDefault="00163139" w:rsidP="00163139">
            <w:pPr>
              <w:spacing w:line="259" w:lineRule="auto"/>
              <w:rPr>
                <w:spacing w:val="-5"/>
                <w:lang w:eastAsia="en-US"/>
              </w:rPr>
            </w:pPr>
            <w:r w:rsidRPr="00163139">
              <w:rPr>
                <w:spacing w:val="-5"/>
                <w:sz w:val="21"/>
                <w:lang w:eastAsia="en-US"/>
              </w:rPr>
              <w:t>Landesbank Hessen-</w:t>
            </w:r>
            <w:proofErr w:type="spellStart"/>
            <w:r w:rsidRPr="00163139">
              <w:rPr>
                <w:spacing w:val="-5"/>
                <w:sz w:val="21"/>
                <w:lang w:eastAsia="en-US"/>
              </w:rPr>
              <w:t>Thueringen</w:t>
            </w:r>
            <w:proofErr w:type="spellEnd"/>
            <w:r w:rsidRPr="00163139">
              <w:rPr>
                <w:spacing w:val="-5"/>
                <w:sz w:val="21"/>
                <w:lang w:eastAsia="en-US"/>
              </w:rPr>
              <w:t xml:space="preserve"> Girozentrale (Helaba)</w:t>
            </w:r>
          </w:p>
        </w:tc>
        <w:tc>
          <w:tcPr>
            <w:tcW w:w="1168" w:type="dxa"/>
            <w:tcBorders>
              <w:top w:val="single" w:sz="8" w:space="0" w:color="000000"/>
              <w:left w:val="single" w:sz="8" w:space="0" w:color="000000"/>
              <w:bottom w:val="single" w:sz="8" w:space="0" w:color="000000"/>
              <w:right w:val="single" w:sz="8" w:space="0" w:color="000000"/>
            </w:tcBorders>
          </w:tcPr>
          <w:p w14:paraId="43B6E4F7" w14:textId="77777777" w:rsidR="00163139" w:rsidRPr="00163139" w:rsidRDefault="00163139" w:rsidP="00163139">
            <w:pPr>
              <w:spacing w:line="259" w:lineRule="auto"/>
              <w:ind w:left="85"/>
              <w:jc w:val="center"/>
              <w:rPr>
                <w:spacing w:val="-5"/>
                <w:lang w:eastAsia="en-US"/>
              </w:rPr>
            </w:pPr>
            <w:r w:rsidRPr="00163139">
              <w:rPr>
                <w:spacing w:val="-5"/>
                <w:sz w:val="21"/>
                <w:lang w:eastAsia="en-US"/>
              </w:rPr>
              <w:t>GER</w:t>
            </w:r>
          </w:p>
        </w:tc>
        <w:tc>
          <w:tcPr>
            <w:tcW w:w="1102" w:type="dxa"/>
            <w:tcBorders>
              <w:top w:val="single" w:sz="8" w:space="0" w:color="000000"/>
              <w:left w:val="single" w:sz="8" w:space="0" w:color="000000"/>
              <w:bottom w:val="single" w:sz="8" w:space="0" w:color="000000"/>
              <w:right w:val="single" w:sz="8" w:space="0" w:color="000000"/>
            </w:tcBorders>
          </w:tcPr>
          <w:p w14:paraId="5A7AAB6D" w14:textId="77777777" w:rsidR="00163139" w:rsidRPr="00163139" w:rsidRDefault="00163139" w:rsidP="00163139">
            <w:pPr>
              <w:spacing w:line="259" w:lineRule="auto"/>
              <w:ind w:left="85"/>
              <w:jc w:val="center"/>
              <w:rPr>
                <w:spacing w:val="-5"/>
                <w:lang w:eastAsia="en-US"/>
              </w:rPr>
            </w:pPr>
            <w:r w:rsidRPr="00163139">
              <w:rPr>
                <w:spacing w:val="-5"/>
                <w:sz w:val="21"/>
                <w:lang w:eastAsia="en-US"/>
              </w:rPr>
              <w:t>40.0</w:t>
            </w:r>
          </w:p>
        </w:tc>
        <w:tc>
          <w:tcPr>
            <w:tcW w:w="1101" w:type="dxa"/>
            <w:tcBorders>
              <w:top w:val="single" w:sz="8" w:space="0" w:color="000000"/>
              <w:left w:val="single" w:sz="8" w:space="0" w:color="000000"/>
              <w:bottom w:val="single" w:sz="8" w:space="0" w:color="000000"/>
              <w:right w:val="single" w:sz="8" w:space="0" w:color="000000"/>
            </w:tcBorders>
          </w:tcPr>
          <w:p w14:paraId="2F0F4A51" w14:textId="77777777" w:rsidR="00163139" w:rsidRPr="00163139" w:rsidRDefault="00163139" w:rsidP="00163139">
            <w:pPr>
              <w:spacing w:line="259" w:lineRule="auto"/>
              <w:ind w:left="104"/>
              <w:rPr>
                <w:spacing w:val="-5"/>
                <w:lang w:eastAsia="en-US"/>
              </w:rPr>
            </w:pPr>
            <w:r w:rsidRPr="00163139">
              <w:rPr>
                <w:spacing w:val="-5"/>
                <w:sz w:val="21"/>
                <w:lang w:eastAsia="en-US"/>
              </w:rPr>
              <w:t>365 days</w:t>
            </w:r>
          </w:p>
        </w:tc>
        <w:tc>
          <w:tcPr>
            <w:tcW w:w="1101" w:type="dxa"/>
            <w:tcBorders>
              <w:top w:val="single" w:sz="8" w:space="0" w:color="000000"/>
              <w:left w:val="single" w:sz="8" w:space="0" w:color="000000"/>
              <w:bottom w:val="single" w:sz="8" w:space="0" w:color="000000"/>
              <w:right w:val="single" w:sz="8" w:space="0" w:color="000000"/>
            </w:tcBorders>
            <w:vAlign w:val="center"/>
          </w:tcPr>
          <w:p w14:paraId="78A2D778" w14:textId="77777777" w:rsidR="00163139" w:rsidRPr="00163139" w:rsidRDefault="00163139" w:rsidP="00163139">
            <w:pPr>
              <w:spacing w:line="259" w:lineRule="auto"/>
              <w:ind w:left="88"/>
              <w:jc w:val="center"/>
              <w:rPr>
                <w:spacing w:val="-5"/>
                <w:lang w:eastAsia="en-US"/>
              </w:rPr>
            </w:pPr>
            <w:r w:rsidRPr="00163139">
              <w:rPr>
                <w:spacing w:val="-5"/>
                <w:sz w:val="21"/>
                <w:lang w:eastAsia="en-US"/>
              </w:rPr>
              <w:t>-</w:t>
            </w:r>
          </w:p>
        </w:tc>
        <w:tc>
          <w:tcPr>
            <w:tcW w:w="1101" w:type="dxa"/>
            <w:tcBorders>
              <w:top w:val="single" w:sz="8" w:space="0" w:color="000000"/>
              <w:left w:val="single" w:sz="8" w:space="0" w:color="000000"/>
              <w:bottom w:val="single" w:sz="8" w:space="0" w:color="000000"/>
              <w:right w:val="single" w:sz="8" w:space="0" w:color="000000"/>
            </w:tcBorders>
            <w:vAlign w:val="center"/>
          </w:tcPr>
          <w:p w14:paraId="1A3112D4" w14:textId="77777777" w:rsidR="00163139" w:rsidRPr="00163139" w:rsidRDefault="00163139" w:rsidP="00163139">
            <w:pPr>
              <w:spacing w:line="259" w:lineRule="auto"/>
              <w:ind w:left="87"/>
              <w:jc w:val="center"/>
              <w:rPr>
                <w:spacing w:val="-5"/>
                <w:lang w:eastAsia="en-US"/>
              </w:rPr>
            </w:pPr>
            <w:r w:rsidRPr="00163139">
              <w:rPr>
                <w:spacing w:val="-5"/>
                <w:sz w:val="21"/>
                <w:lang w:eastAsia="en-US"/>
              </w:rPr>
              <w:t>-</w:t>
            </w:r>
          </w:p>
        </w:tc>
      </w:tr>
      <w:tr w:rsidR="00163139" w:rsidRPr="00163139" w14:paraId="7DF60147" w14:textId="77777777" w:rsidTr="0061569A">
        <w:trPr>
          <w:trHeight w:val="260"/>
        </w:trPr>
        <w:tc>
          <w:tcPr>
            <w:tcW w:w="4818" w:type="dxa"/>
            <w:tcBorders>
              <w:top w:val="single" w:sz="8" w:space="0" w:color="000000"/>
              <w:left w:val="single" w:sz="8" w:space="0" w:color="000000"/>
              <w:bottom w:val="single" w:sz="8" w:space="0" w:color="000000"/>
              <w:right w:val="single" w:sz="8" w:space="0" w:color="000000"/>
            </w:tcBorders>
          </w:tcPr>
          <w:p w14:paraId="4DD9E295" w14:textId="77777777" w:rsidR="00163139" w:rsidRPr="00163139" w:rsidRDefault="00163139" w:rsidP="00163139">
            <w:pPr>
              <w:spacing w:line="259" w:lineRule="auto"/>
              <w:rPr>
                <w:spacing w:val="-5"/>
                <w:lang w:eastAsia="en-US"/>
              </w:rPr>
            </w:pPr>
            <w:r w:rsidRPr="00163139">
              <w:rPr>
                <w:spacing w:val="-5"/>
                <w:sz w:val="21"/>
                <w:lang w:eastAsia="en-US"/>
              </w:rPr>
              <w:t>DBS (Singapore)</w:t>
            </w:r>
          </w:p>
        </w:tc>
        <w:tc>
          <w:tcPr>
            <w:tcW w:w="1168" w:type="dxa"/>
            <w:tcBorders>
              <w:top w:val="single" w:sz="8" w:space="0" w:color="000000"/>
              <w:left w:val="single" w:sz="8" w:space="0" w:color="000000"/>
              <w:bottom w:val="single" w:sz="8" w:space="0" w:color="000000"/>
              <w:right w:val="single" w:sz="8" w:space="0" w:color="000000"/>
            </w:tcBorders>
          </w:tcPr>
          <w:p w14:paraId="3AD6469F" w14:textId="77777777" w:rsidR="00163139" w:rsidRPr="00163139" w:rsidRDefault="00163139" w:rsidP="00163139">
            <w:pPr>
              <w:spacing w:line="259" w:lineRule="auto"/>
              <w:ind w:left="87"/>
              <w:jc w:val="center"/>
              <w:rPr>
                <w:spacing w:val="-5"/>
                <w:lang w:eastAsia="en-US"/>
              </w:rPr>
            </w:pPr>
            <w:r w:rsidRPr="00163139">
              <w:rPr>
                <w:spacing w:val="-5"/>
                <w:sz w:val="21"/>
                <w:lang w:eastAsia="en-US"/>
              </w:rPr>
              <w:t>SING</w:t>
            </w:r>
          </w:p>
        </w:tc>
        <w:tc>
          <w:tcPr>
            <w:tcW w:w="1102" w:type="dxa"/>
            <w:tcBorders>
              <w:top w:val="single" w:sz="8" w:space="0" w:color="000000"/>
              <w:left w:val="single" w:sz="8" w:space="0" w:color="000000"/>
              <w:bottom w:val="single" w:sz="8" w:space="0" w:color="000000"/>
              <w:right w:val="single" w:sz="8" w:space="0" w:color="000000"/>
            </w:tcBorders>
          </w:tcPr>
          <w:p w14:paraId="49600918" w14:textId="77777777" w:rsidR="00163139" w:rsidRPr="00163139" w:rsidRDefault="00163139" w:rsidP="00163139">
            <w:pPr>
              <w:spacing w:line="259" w:lineRule="auto"/>
              <w:ind w:left="85"/>
              <w:jc w:val="center"/>
              <w:rPr>
                <w:spacing w:val="-5"/>
                <w:lang w:eastAsia="en-US"/>
              </w:rPr>
            </w:pPr>
            <w:r w:rsidRPr="00163139">
              <w:rPr>
                <w:spacing w:val="-5"/>
                <w:sz w:val="21"/>
                <w:lang w:eastAsia="en-US"/>
              </w:rPr>
              <w:t>40.0</w:t>
            </w:r>
          </w:p>
        </w:tc>
        <w:tc>
          <w:tcPr>
            <w:tcW w:w="1101" w:type="dxa"/>
            <w:tcBorders>
              <w:top w:val="single" w:sz="8" w:space="0" w:color="000000"/>
              <w:left w:val="single" w:sz="8" w:space="0" w:color="000000"/>
              <w:bottom w:val="single" w:sz="8" w:space="0" w:color="000000"/>
              <w:right w:val="single" w:sz="8" w:space="0" w:color="000000"/>
            </w:tcBorders>
          </w:tcPr>
          <w:p w14:paraId="0449B491" w14:textId="77777777" w:rsidR="00163139" w:rsidRPr="00163139" w:rsidRDefault="00163139" w:rsidP="00163139">
            <w:pPr>
              <w:spacing w:line="259" w:lineRule="auto"/>
              <w:ind w:left="104"/>
              <w:rPr>
                <w:spacing w:val="-5"/>
                <w:lang w:eastAsia="en-US"/>
              </w:rPr>
            </w:pPr>
            <w:r w:rsidRPr="00163139">
              <w:rPr>
                <w:spacing w:val="-5"/>
                <w:sz w:val="21"/>
                <w:lang w:eastAsia="en-US"/>
              </w:rPr>
              <w:t>365 days</w:t>
            </w:r>
          </w:p>
        </w:tc>
        <w:tc>
          <w:tcPr>
            <w:tcW w:w="1101" w:type="dxa"/>
            <w:tcBorders>
              <w:top w:val="single" w:sz="8" w:space="0" w:color="000000"/>
              <w:left w:val="single" w:sz="8" w:space="0" w:color="000000"/>
              <w:bottom w:val="single" w:sz="8" w:space="0" w:color="000000"/>
              <w:right w:val="single" w:sz="8" w:space="0" w:color="000000"/>
            </w:tcBorders>
          </w:tcPr>
          <w:p w14:paraId="1AA0BFCC" w14:textId="77777777" w:rsidR="00163139" w:rsidRPr="00163139" w:rsidRDefault="00163139" w:rsidP="00163139">
            <w:pPr>
              <w:spacing w:line="259" w:lineRule="auto"/>
              <w:ind w:left="88"/>
              <w:jc w:val="center"/>
              <w:rPr>
                <w:spacing w:val="-5"/>
                <w:lang w:eastAsia="en-US"/>
              </w:rPr>
            </w:pPr>
            <w:r w:rsidRPr="00163139">
              <w:rPr>
                <w:spacing w:val="-5"/>
                <w:sz w:val="21"/>
                <w:lang w:eastAsia="en-US"/>
              </w:rPr>
              <w:t>-</w:t>
            </w:r>
          </w:p>
        </w:tc>
        <w:tc>
          <w:tcPr>
            <w:tcW w:w="1101" w:type="dxa"/>
            <w:tcBorders>
              <w:top w:val="single" w:sz="8" w:space="0" w:color="000000"/>
              <w:left w:val="single" w:sz="8" w:space="0" w:color="000000"/>
              <w:bottom w:val="single" w:sz="8" w:space="0" w:color="000000"/>
              <w:right w:val="single" w:sz="8" w:space="0" w:color="000000"/>
            </w:tcBorders>
          </w:tcPr>
          <w:p w14:paraId="23EAB387" w14:textId="77777777" w:rsidR="00163139" w:rsidRPr="00163139" w:rsidRDefault="00163139" w:rsidP="00163139">
            <w:pPr>
              <w:spacing w:line="259" w:lineRule="auto"/>
              <w:ind w:left="87"/>
              <w:jc w:val="center"/>
              <w:rPr>
                <w:spacing w:val="-5"/>
                <w:lang w:eastAsia="en-US"/>
              </w:rPr>
            </w:pPr>
            <w:r w:rsidRPr="00163139">
              <w:rPr>
                <w:spacing w:val="-5"/>
                <w:sz w:val="21"/>
                <w:lang w:eastAsia="en-US"/>
              </w:rPr>
              <w:t>-</w:t>
            </w:r>
          </w:p>
        </w:tc>
      </w:tr>
      <w:tr w:rsidR="00163139" w:rsidRPr="00163139" w14:paraId="7664AC26" w14:textId="77777777" w:rsidTr="0061569A">
        <w:trPr>
          <w:trHeight w:val="260"/>
        </w:trPr>
        <w:tc>
          <w:tcPr>
            <w:tcW w:w="4818" w:type="dxa"/>
            <w:tcBorders>
              <w:top w:val="single" w:sz="8" w:space="0" w:color="000000"/>
              <w:left w:val="single" w:sz="8" w:space="0" w:color="000000"/>
              <w:bottom w:val="single" w:sz="8" w:space="0" w:color="000000"/>
              <w:right w:val="single" w:sz="8" w:space="0" w:color="000000"/>
            </w:tcBorders>
          </w:tcPr>
          <w:p w14:paraId="619C0CAF" w14:textId="77777777" w:rsidR="00163139" w:rsidRPr="00163139" w:rsidRDefault="00163139" w:rsidP="00163139">
            <w:pPr>
              <w:spacing w:line="259" w:lineRule="auto"/>
              <w:rPr>
                <w:spacing w:val="-5"/>
                <w:lang w:eastAsia="en-US"/>
              </w:rPr>
            </w:pPr>
            <w:r w:rsidRPr="00163139">
              <w:rPr>
                <w:spacing w:val="-5"/>
                <w:sz w:val="21"/>
                <w:lang w:eastAsia="en-US"/>
              </w:rPr>
              <w:t>Bayerische Landesbank</w:t>
            </w:r>
          </w:p>
        </w:tc>
        <w:tc>
          <w:tcPr>
            <w:tcW w:w="1168" w:type="dxa"/>
            <w:tcBorders>
              <w:top w:val="single" w:sz="8" w:space="0" w:color="000000"/>
              <w:left w:val="single" w:sz="8" w:space="0" w:color="000000"/>
              <w:bottom w:val="single" w:sz="8" w:space="0" w:color="000000"/>
              <w:right w:val="single" w:sz="8" w:space="0" w:color="000000"/>
            </w:tcBorders>
          </w:tcPr>
          <w:p w14:paraId="3A9F7436" w14:textId="77777777" w:rsidR="00163139" w:rsidRPr="00163139" w:rsidRDefault="00163139" w:rsidP="00163139">
            <w:pPr>
              <w:spacing w:line="259" w:lineRule="auto"/>
              <w:ind w:left="85"/>
              <w:jc w:val="center"/>
              <w:rPr>
                <w:spacing w:val="-5"/>
                <w:lang w:eastAsia="en-US"/>
              </w:rPr>
            </w:pPr>
            <w:r w:rsidRPr="00163139">
              <w:rPr>
                <w:spacing w:val="-5"/>
                <w:sz w:val="21"/>
                <w:lang w:eastAsia="en-US"/>
              </w:rPr>
              <w:t>GER</w:t>
            </w:r>
          </w:p>
        </w:tc>
        <w:tc>
          <w:tcPr>
            <w:tcW w:w="1102" w:type="dxa"/>
            <w:tcBorders>
              <w:top w:val="single" w:sz="8" w:space="0" w:color="000000"/>
              <w:left w:val="single" w:sz="8" w:space="0" w:color="000000"/>
              <w:bottom w:val="single" w:sz="8" w:space="0" w:color="000000"/>
              <w:right w:val="single" w:sz="8" w:space="0" w:color="000000"/>
            </w:tcBorders>
          </w:tcPr>
          <w:p w14:paraId="1239FEE8" w14:textId="77777777" w:rsidR="00163139" w:rsidRPr="00163139" w:rsidRDefault="00163139" w:rsidP="00163139">
            <w:pPr>
              <w:spacing w:line="259" w:lineRule="auto"/>
              <w:ind w:left="85"/>
              <w:jc w:val="center"/>
              <w:rPr>
                <w:spacing w:val="-5"/>
                <w:lang w:eastAsia="en-US"/>
              </w:rPr>
            </w:pPr>
            <w:r w:rsidRPr="00163139">
              <w:rPr>
                <w:spacing w:val="-5"/>
                <w:sz w:val="21"/>
                <w:lang w:eastAsia="en-US"/>
              </w:rPr>
              <w:t>40.0</w:t>
            </w:r>
          </w:p>
        </w:tc>
        <w:tc>
          <w:tcPr>
            <w:tcW w:w="1101" w:type="dxa"/>
            <w:tcBorders>
              <w:top w:val="single" w:sz="8" w:space="0" w:color="000000"/>
              <w:left w:val="single" w:sz="8" w:space="0" w:color="000000"/>
              <w:bottom w:val="single" w:sz="8" w:space="0" w:color="000000"/>
              <w:right w:val="single" w:sz="8" w:space="0" w:color="000000"/>
            </w:tcBorders>
          </w:tcPr>
          <w:p w14:paraId="55F4C21A" w14:textId="77777777" w:rsidR="00163139" w:rsidRPr="00163139" w:rsidRDefault="00163139" w:rsidP="00163139">
            <w:pPr>
              <w:spacing w:line="259" w:lineRule="auto"/>
              <w:ind w:left="91"/>
              <w:rPr>
                <w:spacing w:val="-5"/>
                <w:lang w:eastAsia="en-US"/>
              </w:rPr>
            </w:pPr>
            <w:r w:rsidRPr="00163139">
              <w:rPr>
                <w:spacing w:val="-5"/>
                <w:sz w:val="21"/>
                <w:lang w:eastAsia="en-US"/>
              </w:rPr>
              <w:t>365 days</w:t>
            </w:r>
          </w:p>
        </w:tc>
        <w:tc>
          <w:tcPr>
            <w:tcW w:w="1101" w:type="dxa"/>
            <w:tcBorders>
              <w:top w:val="single" w:sz="8" w:space="0" w:color="000000"/>
              <w:left w:val="single" w:sz="8" w:space="0" w:color="000000"/>
              <w:bottom w:val="single" w:sz="8" w:space="0" w:color="000000"/>
              <w:right w:val="single" w:sz="8" w:space="0" w:color="000000"/>
            </w:tcBorders>
          </w:tcPr>
          <w:p w14:paraId="29C745A6" w14:textId="77777777" w:rsidR="00163139" w:rsidRPr="00163139" w:rsidRDefault="00163139" w:rsidP="00163139">
            <w:pPr>
              <w:spacing w:line="259" w:lineRule="auto"/>
              <w:ind w:left="88"/>
              <w:jc w:val="center"/>
              <w:rPr>
                <w:spacing w:val="-5"/>
                <w:lang w:eastAsia="en-US"/>
              </w:rPr>
            </w:pPr>
            <w:r w:rsidRPr="00163139">
              <w:rPr>
                <w:spacing w:val="-5"/>
                <w:sz w:val="21"/>
                <w:lang w:eastAsia="en-US"/>
              </w:rPr>
              <w:t>-</w:t>
            </w:r>
          </w:p>
        </w:tc>
        <w:tc>
          <w:tcPr>
            <w:tcW w:w="1101" w:type="dxa"/>
            <w:tcBorders>
              <w:top w:val="single" w:sz="8" w:space="0" w:color="000000"/>
              <w:left w:val="single" w:sz="8" w:space="0" w:color="000000"/>
              <w:bottom w:val="single" w:sz="8" w:space="0" w:color="000000"/>
              <w:right w:val="single" w:sz="8" w:space="0" w:color="000000"/>
            </w:tcBorders>
          </w:tcPr>
          <w:p w14:paraId="5CC7C1DA" w14:textId="77777777" w:rsidR="00163139" w:rsidRPr="00163139" w:rsidRDefault="00163139" w:rsidP="00163139">
            <w:pPr>
              <w:spacing w:line="259" w:lineRule="auto"/>
              <w:ind w:left="87"/>
              <w:jc w:val="center"/>
              <w:rPr>
                <w:spacing w:val="-5"/>
                <w:lang w:eastAsia="en-US"/>
              </w:rPr>
            </w:pPr>
            <w:r w:rsidRPr="00163139">
              <w:rPr>
                <w:spacing w:val="-5"/>
                <w:sz w:val="21"/>
                <w:lang w:eastAsia="en-US"/>
              </w:rPr>
              <w:t>-</w:t>
            </w:r>
          </w:p>
        </w:tc>
      </w:tr>
      <w:tr w:rsidR="00163139" w:rsidRPr="00163139" w14:paraId="5FA31CB5" w14:textId="77777777" w:rsidTr="0061569A">
        <w:trPr>
          <w:trHeight w:val="260"/>
        </w:trPr>
        <w:tc>
          <w:tcPr>
            <w:tcW w:w="4818" w:type="dxa"/>
            <w:tcBorders>
              <w:top w:val="single" w:sz="8" w:space="0" w:color="000000"/>
              <w:left w:val="single" w:sz="8" w:space="0" w:color="000000"/>
              <w:bottom w:val="single" w:sz="8" w:space="0" w:color="000000"/>
              <w:right w:val="single" w:sz="8" w:space="0" w:color="000000"/>
            </w:tcBorders>
          </w:tcPr>
          <w:p w14:paraId="0F2D137C" w14:textId="77777777" w:rsidR="00163139" w:rsidRPr="00163139" w:rsidRDefault="00163139" w:rsidP="00163139">
            <w:pPr>
              <w:spacing w:line="259" w:lineRule="auto"/>
              <w:rPr>
                <w:spacing w:val="-5"/>
                <w:lang w:eastAsia="en-US"/>
              </w:rPr>
            </w:pPr>
            <w:r w:rsidRPr="00163139">
              <w:rPr>
                <w:spacing w:val="-5"/>
                <w:sz w:val="21"/>
                <w:lang w:eastAsia="en-US"/>
              </w:rPr>
              <w:t>National Bank of Canada</w:t>
            </w:r>
          </w:p>
        </w:tc>
        <w:tc>
          <w:tcPr>
            <w:tcW w:w="1168" w:type="dxa"/>
            <w:tcBorders>
              <w:top w:val="single" w:sz="8" w:space="0" w:color="000000"/>
              <w:left w:val="single" w:sz="8" w:space="0" w:color="000000"/>
              <w:bottom w:val="single" w:sz="8" w:space="0" w:color="000000"/>
              <w:right w:val="single" w:sz="8" w:space="0" w:color="000000"/>
            </w:tcBorders>
          </w:tcPr>
          <w:p w14:paraId="4F514241" w14:textId="77777777" w:rsidR="00163139" w:rsidRPr="00163139" w:rsidRDefault="00163139" w:rsidP="00163139">
            <w:pPr>
              <w:spacing w:line="259" w:lineRule="auto"/>
              <w:ind w:left="88"/>
              <w:jc w:val="center"/>
              <w:rPr>
                <w:spacing w:val="-5"/>
                <w:lang w:eastAsia="en-US"/>
              </w:rPr>
            </w:pPr>
            <w:r w:rsidRPr="00163139">
              <w:rPr>
                <w:spacing w:val="-5"/>
                <w:sz w:val="21"/>
                <w:lang w:eastAsia="en-US"/>
              </w:rPr>
              <w:t>CAN</w:t>
            </w:r>
          </w:p>
        </w:tc>
        <w:tc>
          <w:tcPr>
            <w:tcW w:w="1102" w:type="dxa"/>
            <w:tcBorders>
              <w:top w:val="single" w:sz="8" w:space="0" w:color="000000"/>
              <w:left w:val="single" w:sz="8" w:space="0" w:color="000000"/>
              <w:bottom w:val="single" w:sz="8" w:space="0" w:color="000000"/>
              <w:right w:val="single" w:sz="8" w:space="0" w:color="000000"/>
            </w:tcBorders>
          </w:tcPr>
          <w:p w14:paraId="7B679904" w14:textId="77777777" w:rsidR="00163139" w:rsidRPr="00163139" w:rsidRDefault="00163139" w:rsidP="00163139">
            <w:pPr>
              <w:spacing w:line="259" w:lineRule="auto"/>
              <w:ind w:left="85"/>
              <w:jc w:val="center"/>
              <w:rPr>
                <w:spacing w:val="-5"/>
                <w:lang w:eastAsia="en-US"/>
              </w:rPr>
            </w:pPr>
            <w:r w:rsidRPr="00163139">
              <w:rPr>
                <w:spacing w:val="-5"/>
                <w:sz w:val="21"/>
                <w:lang w:eastAsia="en-US"/>
              </w:rPr>
              <w:t>40.0</w:t>
            </w:r>
          </w:p>
        </w:tc>
        <w:tc>
          <w:tcPr>
            <w:tcW w:w="1101" w:type="dxa"/>
            <w:tcBorders>
              <w:top w:val="single" w:sz="8" w:space="0" w:color="000000"/>
              <w:left w:val="single" w:sz="8" w:space="0" w:color="000000"/>
              <w:bottom w:val="single" w:sz="8" w:space="0" w:color="000000"/>
              <w:right w:val="single" w:sz="8" w:space="0" w:color="000000"/>
            </w:tcBorders>
          </w:tcPr>
          <w:p w14:paraId="506633C0" w14:textId="77777777" w:rsidR="00163139" w:rsidRPr="00163139" w:rsidRDefault="00163139" w:rsidP="00163139">
            <w:pPr>
              <w:spacing w:line="259" w:lineRule="auto"/>
              <w:ind w:left="91"/>
              <w:rPr>
                <w:spacing w:val="-5"/>
                <w:lang w:eastAsia="en-US"/>
              </w:rPr>
            </w:pPr>
            <w:r w:rsidRPr="00163139">
              <w:rPr>
                <w:spacing w:val="-5"/>
                <w:sz w:val="21"/>
                <w:lang w:eastAsia="en-US"/>
              </w:rPr>
              <w:t>365 days</w:t>
            </w:r>
          </w:p>
        </w:tc>
        <w:tc>
          <w:tcPr>
            <w:tcW w:w="1101" w:type="dxa"/>
            <w:tcBorders>
              <w:top w:val="single" w:sz="8" w:space="0" w:color="000000"/>
              <w:left w:val="single" w:sz="8" w:space="0" w:color="000000"/>
              <w:bottom w:val="single" w:sz="8" w:space="0" w:color="000000"/>
              <w:right w:val="single" w:sz="8" w:space="0" w:color="000000"/>
            </w:tcBorders>
          </w:tcPr>
          <w:p w14:paraId="7BDC2BFB" w14:textId="77777777" w:rsidR="00163139" w:rsidRPr="00163139" w:rsidRDefault="00163139" w:rsidP="00163139">
            <w:pPr>
              <w:spacing w:line="259" w:lineRule="auto"/>
              <w:ind w:left="88"/>
              <w:jc w:val="center"/>
              <w:rPr>
                <w:spacing w:val="-5"/>
                <w:lang w:eastAsia="en-US"/>
              </w:rPr>
            </w:pPr>
            <w:r w:rsidRPr="00163139">
              <w:rPr>
                <w:spacing w:val="-5"/>
                <w:sz w:val="21"/>
                <w:lang w:eastAsia="en-US"/>
              </w:rPr>
              <w:t>-</w:t>
            </w:r>
          </w:p>
        </w:tc>
        <w:tc>
          <w:tcPr>
            <w:tcW w:w="1101" w:type="dxa"/>
            <w:tcBorders>
              <w:top w:val="single" w:sz="8" w:space="0" w:color="000000"/>
              <w:left w:val="single" w:sz="8" w:space="0" w:color="000000"/>
              <w:bottom w:val="single" w:sz="8" w:space="0" w:color="000000"/>
              <w:right w:val="single" w:sz="8" w:space="0" w:color="000000"/>
            </w:tcBorders>
          </w:tcPr>
          <w:p w14:paraId="48903737" w14:textId="77777777" w:rsidR="00163139" w:rsidRPr="00163139" w:rsidRDefault="00163139" w:rsidP="00163139">
            <w:pPr>
              <w:spacing w:line="259" w:lineRule="auto"/>
              <w:ind w:left="87"/>
              <w:jc w:val="center"/>
              <w:rPr>
                <w:spacing w:val="-5"/>
                <w:lang w:eastAsia="en-US"/>
              </w:rPr>
            </w:pPr>
            <w:r w:rsidRPr="00163139">
              <w:rPr>
                <w:spacing w:val="-5"/>
                <w:sz w:val="21"/>
                <w:lang w:eastAsia="en-US"/>
              </w:rPr>
              <w:t>-</w:t>
            </w:r>
          </w:p>
        </w:tc>
      </w:tr>
      <w:tr w:rsidR="00163139" w:rsidRPr="00163139" w14:paraId="2F3836DA" w14:textId="77777777" w:rsidTr="0061569A">
        <w:trPr>
          <w:trHeight w:val="251"/>
        </w:trPr>
        <w:tc>
          <w:tcPr>
            <w:tcW w:w="5986" w:type="dxa"/>
            <w:gridSpan w:val="2"/>
            <w:tcBorders>
              <w:top w:val="single" w:sz="8" w:space="0" w:color="000000"/>
              <w:left w:val="single" w:sz="8" w:space="0" w:color="000000"/>
              <w:bottom w:val="single" w:sz="8" w:space="0" w:color="000000"/>
              <w:right w:val="nil"/>
            </w:tcBorders>
          </w:tcPr>
          <w:p w14:paraId="0F9142E5" w14:textId="77777777" w:rsidR="00163139" w:rsidRPr="00163139" w:rsidRDefault="00163139" w:rsidP="00163139">
            <w:pPr>
              <w:spacing w:line="259" w:lineRule="auto"/>
              <w:rPr>
                <w:spacing w:val="-5"/>
                <w:lang w:eastAsia="en-US"/>
              </w:rPr>
            </w:pPr>
            <w:r w:rsidRPr="00163139">
              <w:rPr>
                <w:b/>
                <w:spacing w:val="-5"/>
                <w:sz w:val="21"/>
                <w:lang w:eastAsia="en-US"/>
              </w:rPr>
              <w:t>Local Authorities</w:t>
            </w:r>
          </w:p>
        </w:tc>
        <w:tc>
          <w:tcPr>
            <w:tcW w:w="2203" w:type="dxa"/>
            <w:gridSpan w:val="2"/>
            <w:tcBorders>
              <w:top w:val="single" w:sz="8" w:space="0" w:color="000000"/>
              <w:left w:val="nil"/>
              <w:bottom w:val="single" w:sz="8" w:space="0" w:color="000000"/>
              <w:right w:val="nil"/>
            </w:tcBorders>
          </w:tcPr>
          <w:p w14:paraId="52BFF753" w14:textId="77777777" w:rsidR="00163139" w:rsidRPr="00163139" w:rsidRDefault="00163139" w:rsidP="00163139">
            <w:pPr>
              <w:spacing w:line="259" w:lineRule="auto"/>
              <w:rPr>
                <w:spacing w:val="-5"/>
                <w:lang w:eastAsia="en-US"/>
              </w:rPr>
            </w:pPr>
          </w:p>
        </w:tc>
        <w:tc>
          <w:tcPr>
            <w:tcW w:w="2202" w:type="dxa"/>
            <w:gridSpan w:val="2"/>
            <w:tcBorders>
              <w:top w:val="single" w:sz="8" w:space="0" w:color="000000"/>
              <w:left w:val="nil"/>
              <w:bottom w:val="single" w:sz="8" w:space="0" w:color="000000"/>
              <w:right w:val="single" w:sz="8" w:space="0" w:color="000000"/>
            </w:tcBorders>
          </w:tcPr>
          <w:p w14:paraId="29800478" w14:textId="77777777" w:rsidR="00163139" w:rsidRPr="00163139" w:rsidRDefault="00163139" w:rsidP="00163139">
            <w:pPr>
              <w:spacing w:line="259" w:lineRule="auto"/>
              <w:rPr>
                <w:spacing w:val="-5"/>
                <w:lang w:eastAsia="en-US"/>
              </w:rPr>
            </w:pPr>
          </w:p>
        </w:tc>
      </w:tr>
      <w:tr w:rsidR="00163139" w:rsidRPr="00163139" w14:paraId="628D3DC7" w14:textId="77777777" w:rsidTr="0061569A">
        <w:trPr>
          <w:trHeight w:val="260"/>
        </w:trPr>
        <w:tc>
          <w:tcPr>
            <w:tcW w:w="5986" w:type="dxa"/>
            <w:gridSpan w:val="2"/>
            <w:tcBorders>
              <w:top w:val="single" w:sz="8" w:space="0" w:color="000000"/>
              <w:left w:val="single" w:sz="8" w:space="0" w:color="000000"/>
              <w:bottom w:val="single" w:sz="8" w:space="0" w:color="000000"/>
              <w:right w:val="single" w:sz="8" w:space="0" w:color="000000"/>
            </w:tcBorders>
          </w:tcPr>
          <w:p w14:paraId="1A9D1912" w14:textId="77777777" w:rsidR="00163139" w:rsidRPr="00163139" w:rsidRDefault="00163139" w:rsidP="00163139">
            <w:pPr>
              <w:spacing w:line="259" w:lineRule="auto"/>
              <w:rPr>
                <w:spacing w:val="-5"/>
                <w:lang w:eastAsia="en-US"/>
              </w:rPr>
            </w:pPr>
            <w:r w:rsidRPr="00163139">
              <w:rPr>
                <w:spacing w:val="-5"/>
                <w:sz w:val="21"/>
                <w:lang w:eastAsia="en-US"/>
              </w:rPr>
              <w:t>County / Unitary / Metropolitan / District Councils</w:t>
            </w:r>
          </w:p>
        </w:tc>
        <w:tc>
          <w:tcPr>
            <w:tcW w:w="1102" w:type="dxa"/>
            <w:tcBorders>
              <w:top w:val="single" w:sz="8" w:space="0" w:color="000000"/>
              <w:left w:val="single" w:sz="8" w:space="0" w:color="000000"/>
              <w:bottom w:val="single" w:sz="8" w:space="0" w:color="000000"/>
              <w:right w:val="single" w:sz="8" w:space="0" w:color="000000"/>
            </w:tcBorders>
          </w:tcPr>
          <w:p w14:paraId="17D79325" w14:textId="77777777" w:rsidR="00163139" w:rsidRPr="00163139" w:rsidRDefault="00163139" w:rsidP="00163139">
            <w:pPr>
              <w:spacing w:line="259" w:lineRule="auto"/>
              <w:ind w:left="85"/>
              <w:jc w:val="center"/>
              <w:rPr>
                <w:spacing w:val="-5"/>
                <w:lang w:eastAsia="en-US"/>
              </w:rPr>
            </w:pPr>
            <w:r w:rsidRPr="00163139">
              <w:rPr>
                <w:spacing w:val="-5"/>
                <w:sz w:val="21"/>
                <w:lang w:eastAsia="en-US"/>
              </w:rPr>
              <w:t>40.0</w:t>
            </w:r>
          </w:p>
        </w:tc>
        <w:tc>
          <w:tcPr>
            <w:tcW w:w="1101" w:type="dxa"/>
            <w:tcBorders>
              <w:top w:val="single" w:sz="8" w:space="0" w:color="000000"/>
              <w:left w:val="single" w:sz="8" w:space="0" w:color="000000"/>
              <w:bottom w:val="single" w:sz="8" w:space="0" w:color="000000"/>
              <w:right w:val="single" w:sz="8" w:space="0" w:color="000000"/>
            </w:tcBorders>
          </w:tcPr>
          <w:p w14:paraId="4434B07B" w14:textId="77777777" w:rsidR="00163139" w:rsidRPr="00163139" w:rsidRDefault="00163139" w:rsidP="00163139">
            <w:pPr>
              <w:spacing w:line="259" w:lineRule="auto"/>
              <w:ind w:left="104"/>
              <w:rPr>
                <w:spacing w:val="-5"/>
                <w:lang w:eastAsia="en-US"/>
              </w:rPr>
            </w:pPr>
            <w:r w:rsidRPr="00163139">
              <w:rPr>
                <w:spacing w:val="-5"/>
                <w:sz w:val="21"/>
                <w:lang w:eastAsia="en-US"/>
              </w:rPr>
              <w:t>365 days</w:t>
            </w:r>
          </w:p>
        </w:tc>
        <w:tc>
          <w:tcPr>
            <w:tcW w:w="1101" w:type="dxa"/>
            <w:tcBorders>
              <w:top w:val="single" w:sz="8" w:space="0" w:color="000000"/>
              <w:left w:val="single" w:sz="8" w:space="0" w:color="000000"/>
              <w:bottom w:val="single" w:sz="8" w:space="0" w:color="000000"/>
              <w:right w:val="single" w:sz="8" w:space="0" w:color="000000"/>
            </w:tcBorders>
          </w:tcPr>
          <w:p w14:paraId="346347CF" w14:textId="77777777" w:rsidR="00163139" w:rsidRPr="00163139" w:rsidRDefault="00163139" w:rsidP="00163139">
            <w:pPr>
              <w:spacing w:line="259" w:lineRule="auto"/>
              <w:ind w:left="86"/>
              <w:jc w:val="center"/>
              <w:rPr>
                <w:spacing w:val="-5"/>
                <w:lang w:eastAsia="en-US"/>
              </w:rPr>
            </w:pPr>
            <w:r w:rsidRPr="00163139">
              <w:rPr>
                <w:spacing w:val="-5"/>
                <w:sz w:val="21"/>
                <w:lang w:eastAsia="en-US"/>
              </w:rPr>
              <w:t>5.0</w:t>
            </w:r>
          </w:p>
        </w:tc>
        <w:tc>
          <w:tcPr>
            <w:tcW w:w="1101" w:type="dxa"/>
            <w:tcBorders>
              <w:top w:val="single" w:sz="8" w:space="0" w:color="000000"/>
              <w:left w:val="single" w:sz="8" w:space="0" w:color="000000"/>
              <w:bottom w:val="single" w:sz="8" w:space="0" w:color="000000"/>
              <w:right w:val="single" w:sz="8" w:space="0" w:color="000000"/>
            </w:tcBorders>
          </w:tcPr>
          <w:p w14:paraId="5FC6A3F8" w14:textId="77777777" w:rsidR="00163139" w:rsidRPr="00163139" w:rsidRDefault="00163139" w:rsidP="00163139">
            <w:pPr>
              <w:spacing w:line="259" w:lineRule="auto"/>
              <w:ind w:left="87"/>
              <w:jc w:val="center"/>
              <w:rPr>
                <w:spacing w:val="-5"/>
                <w:lang w:eastAsia="en-US"/>
              </w:rPr>
            </w:pPr>
            <w:r w:rsidRPr="00163139">
              <w:rPr>
                <w:spacing w:val="-5"/>
                <w:sz w:val="21"/>
                <w:lang w:eastAsia="en-US"/>
              </w:rPr>
              <w:t>5 years</w:t>
            </w:r>
          </w:p>
        </w:tc>
      </w:tr>
      <w:tr w:rsidR="00163139" w:rsidRPr="00163139" w14:paraId="3F4C533D" w14:textId="77777777" w:rsidTr="0061569A">
        <w:trPr>
          <w:trHeight w:val="260"/>
        </w:trPr>
        <w:tc>
          <w:tcPr>
            <w:tcW w:w="5986" w:type="dxa"/>
            <w:gridSpan w:val="2"/>
            <w:tcBorders>
              <w:top w:val="single" w:sz="8" w:space="0" w:color="000000"/>
              <w:left w:val="single" w:sz="8" w:space="0" w:color="000000"/>
              <w:bottom w:val="single" w:sz="8" w:space="0" w:color="000000"/>
              <w:right w:val="single" w:sz="8" w:space="0" w:color="000000"/>
            </w:tcBorders>
          </w:tcPr>
          <w:p w14:paraId="5F87EF94" w14:textId="77777777" w:rsidR="00163139" w:rsidRPr="00163139" w:rsidRDefault="00163139" w:rsidP="00163139">
            <w:pPr>
              <w:spacing w:line="259" w:lineRule="auto"/>
              <w:rPr>
                <w:spacing w:val="-5"/>
                <w:lang w:eastAsia="en-US"/>
              </w:rPr>
            </w:pPr>
            <w:r w:rsidRPr="00163139">
              <w:rPr>
                <w:spacing w:val="-5"/>
                <w:sz w:val="21"/>
                <w:lang w:eastAsia="en-US"/>
              </w:rPr>
              <w:t>Police / Fire Authorities</w:t>
            </w:r>
          </w:p>
        </w:tc>
        <w:tc>
          <w:tcPr>
            <w:tcW w:w="1102" w:type="dxa"/>
            <w:tcBorders>
              <w:top w:val="single" w:sz="8" w:space="0" w:color="000000"/>
              <w:left w:val="single" w:sz="8" w:space="0" w:color="000000"/>
              <w:bottom w:val="single" w:sz="8" w:space="0" w:color="000000"/>
              <w:right w:val="single" w:sz="8" w:space="0" w:color="000000"/>
            </w:tcBorders>
          </w:tcPr>
          <w:p w14:paraId="7CFEFD5E" w14:textId="77777777" w:rsidR="00163139" w:rsidRPr="00163139" w:rsidRDefault="00163139" w:rsidP="00163139">
            <w:pPr>
              <w:spacing w:line="259" w:lineRule="auto"/>
              <w:ind w:left="85"/>
              <w:jc w:val="center"/>
              <w:rPr>
                <w:spacing w:val="-5"/>
                <w:lang w:eastAsia="en-US"/>
              </w:rPr>
            </w:pPr>
            <w:r w:rsidRPr="00163139">
              <w:rPr>
                <w:spacing w:val="-5"/>
                <w:sz w:val="21"/>
                <w:lang w:eastAsia="en-US"/>
              </w:rPr>
              <w:t>40.0</w:t>
            </w:r>
          </w:p>
        </w:tc>
        <w:tc>
          <w:tcPr>
            <w:tcW w:w="1101" w:type="dxa"/>
            <w:tcBorders>
              <w:top w:val="single" w:sz="8" w:space="0" w:color="000000"/>
              <w:left w:val="single" w:sz="8" w:space="0" w:color="000000"/>
              <w:bottom w:val="single" w:sz="8" w:space="0" w:color="000000"/>
              <w:right w:val="single" w:sz="8" w:space="0" w:color="000000"/>
            </w:tcBorders>
          </w:tcPr>
          <w:p w14:paraId="5D4B01F9" w14:textId="77777777" w:rsidR="00163139" w:rsidRPr="00163139" w:rsidRDefault="00163139" w:rsidP="00163139">
            <w:pPr>
              <w:spacing w:line="259" w:lineRule="auto"/>
              <w:ind w:left="104"/>
              <w:rPr>
                <w:spacing w:val="-5"/>
                <w:lang w:eastAsia="en-US"/>
              </w:rPr>
            </w:pPr>
            <w:r w:rsidRPr="00163139">
              <w:rPr>
                <w:spacing w:val="-5"/>
                <w:sz w:val="21"/>
                <w:lang w:eastAsia="en-US"/>
              </w:rPr>
              <w:t>365 days</w:t>
            </w:r>
          </w:p>
        </w:tc>
        <w:tc>
          <w:tcPr>
            <w:tcW w:w="1101" w:type="dxa"/>
            <w:tcBorders>
              <w:top w:val="single" w:sz="8" w:space="0" w:color="000000"/>
              <w:left w:val="single" w:sz="8" w:space="0" w:color="000000"/>
              <w:bottom w:val="single" w:sz="8" w:space="0" w:color="000000"/>
              <w:right w:val="single" w:sz="8" w:space="0" w:color="000000"/>
            </w:tcBorders>
          </w:tcPr>
          <w:p w14:paraId="21978CFE" w14:textId="77777777" w:rsidR="00163139" w:rsidRPr="00163139" w:rsidRDefault="00163139" w:rsidP="00163139">
            <w:pPr>
              <w:spacing w:line="259" w:lineRule="auto"/>
              <w:ind w:left="86"/>
              <w:jc w:val="center"/>
              <w:rPr>
                <w:spacing w:val="-5"/>
                <w:lang w:eastAsia="en-US"/>
              </w:rPr>
            </w:pPr>
            <w:r w:rsidRPr="00163139">
              <w:rPr>
                <w:spacing w:val="-5"/>
                <w:sz w:val="21"/>
                <w:lang w:eastAsia="en-US"/>
              </w:rPr>
              <w:t>5.0</w:t>
            </w:r>
          </w:p>
        </w:tc>
        <w:tc>
          <w:tcPr>
            <w:tcW w:w="1101" w:type="dxa"/>
            <w:tcBorders>
              <w:top w:val="single" w:sz="8" w:space="0" w:color="000000"/>
              <w:left w:val="single" w:sz="8" w:space="0" w:color="000000"/>
              <w:bottom w:val="single" w:sz="8" w:space="0" w:color="000000"/>
              <w:right w:val="single" w:sz="8" w:space="0" w:color="000000"/>
            </w:tcBorders>
          </w:tcPr>
          <w:p w14:paraId="4E08B674" w14:textId="77777777" w:rsidR="00163139" w:rsidRPr="00163139" w:rsidRDefault="00163139" w:rsidP="00163139">
            <w:pPr>
              <w:spacing w:line="259" w:lineRule="auto"/>
              <w:ind w:left="87"/>
              <w:jc w:val="center"/>
              <w:rPr>
                <w:spacing w:val="-5"/>
                <w:lang w:eastAsia="en-US"/>
              </w:rPr>
            </w:pPr>
            <w:r w:rsidRPr="00163139">
              <w:rPr>
                <w:spacing w:val="-5"/>
                <w:sz w:val="21"/>
                <w:lang w:eastAsia="en-US"/>
              </w:rPr>
              <w:t>5 years</w:t>
            </w:r>
          </w:p>
        </w:tc>
      </w:tr>
      <w:tr w:rsidR="00163139" w:rsidRPr="00163139" w14:paraId="64D143E0" w14:textId="77777777" w:rsidTr="0061569A">
        <w:trPr>
          <w:trHeight w:val="260"/>
        </w:trPr>
        <w:tc>
          <w:tcPr>
            <w:tcW w:w="5986" w:type="dxa"/>
            <w:gridSpan w:val="2"/>
            <w:tcBorders>
              <w:top w:val="single" w:sz="8" w:space="0" w:color="000000"/>
              <w:left w:val="single" w:sz="8" w:space="0" w:color="000000"/>
              <w:bottom w:val="single" w:sz="8" w:space="0" w:color="000000"/>
              <w:right w:val="single" w:sz="8" w:space="0" w:color="000000"/>
            </w:tcBorders>
          </w:tcPr>
          <w:p w14:paraId="6E220F7E" w14:textId="77777777" w:rsidR="00163139" w:rsidRPr="00163139" w:rsidRDefault="00163139" w:rsidP="00163139">
            <w:pPr>
              <w:spacing w:line="259" w:lineRule="auto"/>
              <w:rPr>
                <w:spacing w:val="-5"/>
                <w:lang w:eastAsia="en-US"/>
              </w:rPr>
            </w:pPr>
            <w:r w:rsidRPr="00163139">
              <w:rPr>
                <w:spacing w:val="-5"/>
                <w:sz w:val="21"/>
                <w:lang w:eastAsia="en-US"/>
              </w:rPr>
              <w:t>National Park Authorities</w:t>
            </w:r>
          </w:p>
        </w:tc>
        <w:tc>
          <w:tcPr>
            <w:tcW w:w="1102" w:type="dxa"/>
            <w:tcBorders>
              <w:top w:val="single" w:sz="8" w:space="0" w:color="000000"/>
              <w:left w:val="single" w:sz="8" w:space="0" w:color="000000"/>
              <w:bottom w:val="single" w:sz="8" w:space="0" w:color="000000"/>
              <w:right w:val="single" w:sz="8" w:space="0" w:color="000000"/>
            </w:tcBorders>
          </w:tcPr>
          <w:p w14:paraId="2BB947CA" w14:textId="77777777" w:rsidR="00163139" w:rsidRPr="00163139" w:rsidRDefault="00163139" w:rsidP="00163139">
            <w:pPr>
              <w:spacing w:line="259" w:lineRule="auto"/>
              <w:ind w:left="85"/>
              <w:jc w:val="center"/>
              <w:rPr>
                <w:spacing w:val="-5"/>
                <w:lang w:eastAsia="en-US"/>
              </w:rPr>
            </w:pPr>
            <w:r w:rsidRPr="00163139">
              <w:rPr>
                <w:spacing w:val="-5"/>
                <w:sz w:val="21"/>
                <w:lang w:eastAsia="en-US"/>
              </w:rPr>
              <w:t>40.0</w:t>
            </w:r>
          </w:p>
        </w:tc>
        <w:tc>
          <w:tcPr>
            <w:tcW w:w="1101" w:type="dxa"/>
            <w:tcBorders>
              <w:top w:val="single" w:sz="8" w:space="0" w:color="000000"/>
              <w:left w:val="single" w:sz="8" w:space="0" w:color="000000"/>
              <w:bottom w:val="single" w:sz="8" w:space="0" w:color="000000"/>
              <w:right w:val="single" w:sz="8" w:space="0" w:color="000000"/>
            </w:tcBorders>
          </w:tcPr>
          <w:p w14:paraId="7E03E353" w14:textId="77777777" w:rsidR="00163139" w:rsidRPr="00163139" w:rsidRDefault="00163139" w:rsidP="00163139">
            <w:pPr>
              <w:spacing w:line="259" w:lineRule="auto"/>
              <w:ind w:left="104"/>
              <w:rPr>
                <w:spacing w:val="-5"/>
                <w:lang w:eastAsia="en-US"/>
              </w:rPr>
            </w:pPr>
            <w:r w:rsidRPr="00163139">
              <w:rPr>
                <w:spacing w:val="-5"/>
                <w:sz w:val="21"/>
                <w:lang w:eastAsia="en-US"/>
              </w:rPr>
              <w:t>365 days</w:t>
            </w:r>
          </w:p>
        </w:tc>
        <w:tc>
          <w:tcPr>
            <w:tcW w:w="1101" w:type="dxa"/>
            <w:tcBorders>
              <w:top w:val="single" w:sz="8" w:space="0" w:color="000000"/>
              <w:left w:val="single" w:sz="8" w:space="0" w:color="000000"/>
              <w:bottom w:val="single" w:sz="8" w:space="0" w:color="000000"/>
              <w:right w:val="single" w:sz="8" w:space="0" w:color="000000"/>
            </w:tcBorders>
          </w:tcPr>
          <w:p w14:paraId="7634EA46" w14:textId="77777777" w:rsidR="00163139" w:rsidRPr="00163139" w:rsidRDefault="00163139" w:rsidP="00163139">
            <w:pPr>
              <w:spacing w:line="259" w:lineRule="auto"/>
              <w:ind w:left="86"/>
              <w:jc w:val="center"/>
              <w:rPr>
                <w:spacing w:val="-5"/>
                <w:lang w:eastAsia="en-US"/>
              </w:rPr>
            </w:pPr>
            <w:r w:rsidRPr="00163139">
              <w:rPr>
                <w:spacing w:val="-5"/>
                <w:sz w:val="21"/>
                <w:lang w:eastAsia="en-US"/>
              </w:rPr>
              <w:t>5.0</w:t>
            </w:r>
          </w:p>
        </w:tc>
        <w:tc>
          <w:tcPr>
            <w:tcW w:w="1101" w:type="dxa"/>
            <w:tcBorders>
              <w:top w:val="single" w:sz="8" w:space="0" w:color="000000"/>
              <w:left w:val="single" w:sz="8" w:space="0" w:color="000000"/>
              <w:bottom w:val="single" w:sz="8" w:space="0" w:color="000000"/>
              <w:right w:val="single" w:sz="8" w:space="0" w:color="000000"/>
            </w:tcBorders>
          </w:tcPr>
          <w:p w14:paraId="670C7AD6" w14:textId="77777777" w:rsidR="00163139" w:rsidRPr="00163139" w:rsidRDefault="00163139" w:rsidP="00163139">
            <w:pPr>
              <w:spacing w:line="259" w:lineRule="auto"/>
              <w:ind w:left="87"/>
              <w:jc w:val="center"/>
              <w:rPr>
                <w:spacing w:val="-5"/>
                <w:lang w:eastAsia="en-US"/>
              </w:rPr>
            </w:pPr>
            <w:r w:rsidRPr="00163139">
              <w:rPr>
                <w:spacing w:val="-5"/>
                <w:sz w:val="21"/>
                <w:lang w:eastAsia="en-US"/>
              </w:rPr>
              <w:t>5 years</w:t>
            </w:r>
          </w:p>
        </w:tc>
      </w:tr>
      <w:tr w:rsidR="00163139" w:rsidRPr="00163139" w14:paraId="40D53357" w14:textId="77777777" w:rsidTr="0061569A">
        <w:trPr>
          <w:trHeight w:val="260"/>
        </w:trPr>
        <w:tc>
          <w:tcPr>
            <w:tcW w:w="5986" w:type="dxa"/>
            <w:gridSpan w:val="2"/>
            <w:tcBorders>
              <w:top w:val="single" w:sz="8" w:space="0" w:color="000000"/>
              <w:left w:val="single" w:sz="8" w:space="0" w:color="000000"/>
              <w:bottom w:val="single" w:sz="8" w:space="0" w:color="000000"/>
              <w:right w:val="nil"/>
            </w:tcBorders>
          </w:tcPr>
          <w:p w14:paraId="4B25C3F0" w14:textId="77777777" w:rsidR="00163139" w:rsidRPr="00163139" w:rsidRDefault="00163139" w:rsidP="00163139">
            <w:pPr>
              <w:spacing w:line="259" w:lineRule="auto"/>
              <w:rPr>
                <w:spacing w:val="-5"/>
                <w:lang w:eastAsia="en-US"/>
              </w:rPr>
            </w:pPr>
            <w:r w:rsidRPr="00163139">
              <w:rPr>
                <w:b/>
                <w:spacing w:val="-5"/>
                <w:sz w:val="21"/>
                <w:lang w:eastAsia="en-US"/>
              </w:rPr>
              <w:t>Other Deposit Takers</w:t>
            </w:r>
          </w:p>
        </w:tc>
        <w:tc>
          <w:tcPr>
            <w:tcW w:w="2203" w:type="dxa"/>
            <w:gridSpan w:val="2"/>
            <w:tcBorders>
              <w:top w:val="single" w:sz="8" w:space="0" w:color="000000"/>
              <w:left w:val="nil"/>
              <w:bottom w:val="single" w:sz="8" w:space="0" w:color="000000"/>
              <w:right w:val="nil"/>
            </w:tcBorders>
          </w:tcPr>
          <w:p w14:paraId="02DAA6AF" w14:textId="77777777" w:rsidR="00163139" w:rsidRPr="00163139" w:rsidRDefault="00163139" w:rsidP="00163139">
            <w:pPr>
              <w:spacing w:line="259" w:lineRule="auto"/>
              <w:rPr>
                <w:spacing w:val="-5"/>
                <w:lang w:eastAsia="en-US"/>
              </w:rPr>
            </w:pPr>
          </w:p>
        </w:tc>
        <w:tc>
          <w:tcPr>
            <w:tcW w:w="2202" w:type="dxa"/>
            <w:gridSpan w:val="2"/>
            <w:tcBorders>
              <w:top w:val="single" w:sz="8" w:space="0" w:color="000000"/>
              <w:left w:val="nil"/>
              <w:bottom w:val="single" w:sz="8" w:space="0" w:color="000000"/>
              <w:right w:val="single" w:sz="8" w:space="0" w:color="000000"/>
            </w:tcBorders>
          </w:tcPr>
          <w:p w14:paraId="1939288C" w14:textId="77777777" w:rsidR="00163139" w:rsidRPr="00163139" w:rsidRDefault="00163139" w:rsidP="00163139">
            <w:pPr>
              <w:spacing w:line="259" w:lineRule="auto"/>
              <w:rPr>
                <w:spacing w:val="-5"/>
                <w:lang w:eastAsia="en-US"/>
              </w:rPr>
            </w:pPr>
          </w:p>
        </w:tc>
      </w:tr>
      <w:tr w:rsidR="00163139" w:rsidRPr="00163139" w14:paraId="16DD6CBF" w14:textId="77777777" w:rsidTr="0061569A">
        <w:trPr>
          <w:trHeight w:val="260"/>
        </w:trPr>
        <w:tc>
          <w:tcPr>
            <w:tcW w:w="5986" w:type="dxa"/>
            <w:gridSpan w:val="2"/>
            <w:tcBorders>
              <w:top w:val="single" w:sz="8" w:space="0" w:color="000000"/>
              <w:left w:val="single" w:sz="8" w:space="0" w:color="000000"/>
              <w:bottom w:val="single" w:sz="8" w:space="0" w:color="000000"/>
              <w:right w:val="single" w:sz="8" w:space="0" w:color="000000"/>
            </w:tcBorders>
          </w:tcPr>
          <w:p w14:paraId="4E1F6F17" w14:textId="77777777" w:rsidR="00163139" w:rsidRPr="00163139" w:rsidRDefault="00163139" w:rsidP="00163139">
            <w:pPr>
              <w:spacing w:line="259" w:lineRule="auto"/>
              <w:rPr>
                <w:spacing w:val="-5"/>
                <w:lang w:eastAsia="en-US"/>
              </w:rPr>
            </w:pPr>
            <w:r w:rsidRPr="00163139">
              <w:rPr>
                <w:spacing w:val="-5"/>
                <w:sz w:val="21"/>
                <w:lang w:eastAsia="en-US"/>
              </w:rPr>
              <w:t>Money Market Funds</w:t>
            </w:r>
          </w:p>
        </w:tc>
        <w:tc>
          <w:tcPr>
            <w:tcW w:w="1102" w:type="dxa"/>
            <w:tcBorders>
              <w:top w:val="single" w:sz="8" w:space="0" w:color="000000"/>
              <w:left w:val="single" w:sz="8" w:space="0" w:color="000000"/>
              <w:bottom w:val="single" w:sz="8" w:space="0" w:color="000000"/>
              <w:right w:val="single" w:sz="8" w:space="0" w:color="000000"/>
            </w:tcBorders>
          </w:tcPr>
          <w:p w14:paraId="26F5A112" w14:textId="77777777" w:rsidR="00163139" w:rsidRPr="00163139" w:rsidRDefault="00163139" w:rsidP="00163139">
            <w:pPr>
              <w:spacing w:line="259" w:lineRule="auto"/>
              <w:ind w:left="85"/>
              <w:jc w:val="center"/>
              <w:rPr>
                <w:spacing w:val="-5"/>
                <w:lang w:eastAsia="en-US"/>
              </w:rPr>
            </w:pPr>
            <w:r w:rsidRPr="00163139">
              <w:rPr>
                <w:spacing w:val="-5"/>
                <w:sz w:val="21"/>
                <w:lang w:eastAsia="en-US"/>
              </w:rPr>
              <w:t>40.0</w:t>
            </w:r>
          </w:p>
        </w:tc>
        <w:tc>
          <w:tcPr>
            <w:tcW w:w="1101" w:type="dxa"/>
            <w:tcBorders>
              <w:top w:val="single" w:sz="8" w:space="0" w:color="000000"/>
              <w:left w:val="single" w:sz="8" w:space="0" w:color="000000"/>
              <w:bottom w:val="single" w:sz="8" w:space="0" w:color="000000"/>
              <w:right w:val="single" w:sz="8" w:space="0" w:color="000000"/>
            </w:tcBorders>
          </w:tcPr>
          <w:p w14:paraId="3830EF9B" w14:textId="77777777" w:rsidR="00163139" w:rsidRPr="00163139" w:rsidRDefault="00163139" w:rsidP="00163139">
            <w:pPr>
              <w:spacing w:line="259" w:lineRule="auto"/>
              <w:ind w:left="109"/>
              <w:rPr>
                <w:spacing w:val="-5"/>
                <w:lang w:eastAsia="en-US"/>
              </w:rPr>
            </w:pPr>
            <w:r w:rsidRPr="00163139">
              <w:rPr>
                <w:spacing w:val="-5"/>
                <w:sz w:val="21"/>
                <w:lang w:eastAsia="en-US"/>
              </w:rPr>
              <w:t>n/a liquid</w:t>
            </w:r>
          </w:p>
        </w:tc>
        <w:tc>
          <w:tcPr>
            <w:tcW w:w="1101" w:type="dxa"/>
            <w:tcBorders>
              <w:top w:val="single" w:sz="8" w:space="0" w:color="000000"/>
              <w:left w:val="single" w:sz="8" w:space="0" w:color="000000"/>
              <w:bottom w:val="single" w:sz="8" w:space="0" w:color="000000"/>
              <w:right w:val="single" w:sz="8" w:space="0" w:color="000000"/>
            </w:tcBorders>
          </w:tcPr>
          <w:p w14:paraId="4864CC66" w14:textId="77777777" w:rsidR="00163139" w:rsidRPr="00163139" w:rsidRDefault="00163139" w:rsidP="00163139">
            <w:pPr>
              <w:spacing w:line="259" w:lineRule="auto"/>
              <w:ind w:left="88"/>
              <w:jc w:val="center"/>
              <w:rPr>
                <w:spacing w:val="-5"/>
                <w:lang w:eastAsia="en-US"/>
              </w:rPr>
            </w:pPr>
            <w:r w:rsidRPr="00163139">
              <w:rPr>
                <w:spacing w:val="-5"/>
                <w:sz w:val="21"/>
                <w:lang w:eastAsia="en-US"/>
              </w:rPr>
              <w:t>-</w:t>
            </w:r>
          </w:p>
        </w:tc>
        <w:tc>
          <w:tcPr>
            <w:tcW w:w="1101" w:type="dxa"/>
            <w:tcBorders>
              <w:top w:val="single" w:sz="8" w:space="0" w:color="000000"/>
              <w:left w:val="single" w:sz="8" w:space="0" w:color="000000"/>
              <w:bottom w:val="single" w:sz="8" w:space="0" w:color="000000"/>
              <w:right w:val="single" w:sz="8" w:space="0" w:color="000000"/>
            </w:tcBorders>
          </w:tcPr>
          <w:p w14:paraId="5E023CA5" w14:textId="77777777" w:rsidR="00163139" w:rsidRPr="00163139" w:rsidRDefault="00163139" w:rsidP="00163139">
            <w:pPr>
              <w:spacing w:line="259" w:lineRule="auto"/>
              <w:ind w:left="87"/>
              <w:jc w:val="center"/>
              <w:rPr>
                <w:spacing w:val="-5"/>
                <w:lang w:eastAsia="en-US"/>
              </w:rPr>
            </w:pPr>
            <w:r w:rsidRPr="00163139">
              <w:rPr>
                <w:spacing w:val="-5"/>
                <w:sz w:val="21"/>
                <w:lang w:eastAsia="en-US"/>
              </w:rPr>
              <w:t>-</w:t>
            </w:r>
          </w:p>
        </w:tc>
      </w:tr>
      <w:tr w:rsidR="00163139" w:rsidRPr="00163139" w14:paraId="1531BD93" w14:textId="77777777" w:rsidTr="0061569A">
        <w:trPr>
          <w:trHeight w:val="260"/>
        </w:trPr>
        <w:tc>
          <w:tcPr>
            <w:tcW w:w="5986" w:type="dxa"/>
            <w:gridSpan w:val="2"/>
            <w:tcBorders>
              <w:top w:val="single" w:sz="8" w:space="0" w:color="000000"/>
              <w:left w:val="single" w:sz="8" w:space="0" w:color="000000"/>
              <w:bottom w:val="single" w:sz="8" w:space="0" w:color="000000"/>
              <w:right w:val="single" w:sz="8" w:space="0" w:color="000000"/>
            </w:tcBorders>
          </w:tcPr>
          <w:p w14:paraId="47A196F4" w14:textId="77777777" w:rsidR="00163139" w:rsidRPr="00163139" w:rsidRDefault="00163139" w:rsidP="00163139">
            <w:pPr>
              <w:spacing w:line="259" w:lineRule="auto"/>
              <w:rPr>
                <w:spacing w:val="-5"/>
                <w:lang w:eastAsia="en-US"/>
              </w:rPr>
            </w:pPr>
            <w:r w:rsidRPr="00163139">
              <w:rPr>
                <w:spacing w:val="-5"/>
                <w:sz w:val="21"/>
                <w:lang w:eastAsia="en-US"/>
              </w:rPr>
              <w:t>Property Funds</w:t>
            </w:r>
          </w:p>
        </w:tc>
        <w:tc>
          <w:tcPr>
            <w:tcW w:w="1102" w:type="dxa"/>
            <w:tcBorders>
              <w:top w:val="single" w:sz="8" w:space="0" w:color="000000"/>
              <w:left w:val="single" w:sz="8" w:space="0" w:color="000000"/>
              <w:bottom w:val="single" w:sz="8" w:space="0" w:color="000000"/>
              <w:right w:val="single" w:sz="8" w:space="0" w:color="000000"/>
            </w:tcBorders>
          </w:tcPr>
          <w:p w14:paraId="1D28F7FE" w14:textId="77777777" w:rsidR="00163139" w:rsidRPr="00163139" w:rsidRDefault="00163139" w:rsidP="00163139">
            <w:pPr>
              <w:spacing w:line="259" w:lineRule="auto"/>
              <w:ind w:left="85"/>
              <w:jc w:val="center"/>
              <w:rPr>
                <w:spacing w:val="-5"/>
                <w:lang w:eastAsia="en-US"/>
              </w:rPr>
            </w:pPr>
            <w:r w:rsidRPr="00163139">
              <w:rPr>
                <w:spacing w:val="-5"/>
                <w:sz w:val="21"/>
                <w:lang w:eastAsia="en-US"/>
              </w:rPr>
              <w:t>5.0</w:t>
            </w:r>
          </w:p>
        </w:tc>
        <w:tc>
          <w:tcPr>
            <w:tcW w:w="1101" w:type="dxa"/>
            <w:tcBorders>
              <w:top w:val="single" w:sz="8" w:space="0" w:color="000000"/>
              <w:left w:val="single" w:sz="8" w:space="0" w:color="000000"/>
              <w:bottom w:val="single" w:sz="8" w:space="0" w:color="000000"/>
              <w:right w:val="single" w:sz="8" w:space="0" w:color="000000"/>
            </w:tcBorders>
          </w:tcPr>
          <w:p w14:paraId="47BE8D96" w14:textId="77777777" w:rsidR="00163139" w:rsidRPr="00163139" w:rsidRDefault="00163139" w:rsidP="00163139">
            <w:pPr>
              <w:spacing w:line="259" w:lineRule="auto"/>
              <w:ind w:left="104"/>
              <w:rPr>
                <w:spacing w:val="-5"/>
                <w:lang w:eastAsia="en-US"/>
              </w:rPr>
            </w:pPr>
            <w:r w:rsidRPr="00163139">
              <w:rPr>
                <w:spacing w:val="-5"/>
                <w:sz w:val="21"/>
                <w:lang w:eastAsia="en-US"/>
              </w:rPr>
              <w:t>365 days</w:t>
            </w:r>
          </w:p>
        </w:tc>
        <w:tc>
          <w:tcPr>
            <w:tcW w:w="1101" w:type="dxa"/>
            <w:tcBorders>
              <w:top w:val="single" w:sz="8" w:space="0" w:color="000000"/>
              <w:left w:val="single" w:sz="8" w:space="0" w:color="000000"/>
              <w:bottom w:val="single" w:sz="8" w:space="0" w:color="000000"/>
              <w:right w:val="single" w:sz="8" w:space="0" w:color="000000"/>
            </w:tcBorders>
          </w:tcPr>
          <w:p w14:paraId="744A83D0" w14:textId="77777777" w:rsidR="00163139" w:rsidRPr="00163139" w:rsidRDefault="00163139" w:rsidP="00163139">
            <w:pPr>
              <w:spacing w:line="259" w:lineRule="auto"/>
              <w:ind w:left="86"/>
              <w:jc w:val="center"/>
              <w:rPr>
                <w:spacing w:val="-5"/>
                <w:lang w:eastAsia="en-US"/>
              </w:rPr>
            </w:pPr>
            <w:r w:rsidRPr="00163139">
              <w:rPr>
                <w:spacing w:val="-5"/>
                <w:sz w:val="21"/>
                <w:lang w:eastAsia="en-US"/>
              </w:rPr>
              <w:t>5.0</w:t>
            </w:r>
          </w:p>
        </w:tc>
        <w:tc>
          <w:tcPr>
            <w:tcW w:w="1101" w:type="dxa"/>
            <w:tcBorders>
              <w:top w:val="single" w:sz="8" w:space="0" w:color="000000"/>
              <w:left w:val="single" w:sz="8" w:space="0" w:color="000000"/>
              <w:bottom w:val="single" w:sz="8" w:space="0" w:color="000000"/>
              <w:right w:val="single" w:sz="8" w:space="0" w:color="000000"/>
            </w:tcBorders>
          </w:tcPr>
          <w:p w14:paraId="69AFB7F9" w14:textId="77777777" w:rsidR="00163139" w:rsidRPr="00163139" w:rsidRDefault="00163139" w:rsidP="00163139">
            <w:pPr>
              <w:spacing w:line="259" w:lineRule="auto"/>
              <w:ind w:left="127"/>
              <w:rPr>
                <w:spacing w:val="-5"/>
                <w:lang w:eastAsia="en-US"/>
              </w:rPr>
            </w:pPr>
            <w:r w:rsidRPr="00163139">
              <w:rPr>
                <w:spacing w:val="-5"/>
                <w:sz w:val="21"/>
                <w:lang w:eastAsia="en-US"/>
              </w:rPr>
              <w:t>10 years</w:t>
            </w:r>
          </w:p>
        </w:tc>
      </w:tr>
      <w:tr w:rsidR="00163139" w:rsidRPr="00163139" w14:paraId="4E2B3AFF" w14:textId="77777777" w:rsidTr="0061569A">
        <w:trPr>
          <w:trHeight w:val="260"/>
        </w:trPr>
        <w:tc>
          <w:tcPr>
            <w:tcW w:w="5986" w:type="dxa"/>
            <w:gridSpan w:val="2"/>
            <w:tcBorders>
              <w:top w:val="single" w:sz="8" w:space="0" w:color="000000"/>
              <w:left w:val="single" w:sz="8" w:space="0" w:color="000000"/>
              <w:bottom w:val="single" w:sz="8" w:space="0" w:color="000000"/>
              <w:right w:val="single" w:sz="8" w:space="0" w:color="000000"/>
            </w:tcBorders>
          </w:tcPr>
          <w:p w14:paraId="30427C62" w14:textId="77777777" w:rsidR="00163139" w:rsidRPr="00163139" w:rsidRDefault="00163139" w:rsidP="00163139">
            <w:pPr>
              <w:spacing w:line="259" w:lineRule="auto"/>
              <w:rPr>
                <w:spacing w:val="-5"/>
                <w:lang w:eastAsia="en-US"/>
              </w:rPr>
            </w:pPr>
            <w:r w:rsidRPr="00163139">
              <w:rPr>
                <w:spacing w:val="-5"/>
                <w:sz w:val="21"/>
                <w:lang w:eastAsia="en-US"/>
              </w:rPr>
              <w:t xml:space="preserve">UK Debt Management Account </w:t>
            </w:r>
          </w:p>
        </w:tc>
        <w:tc>
          <w:tcPr>
            <w:tcW w:w="1102" w:type="dxa"/>
            <w:tcBorders>
              <w:top w:val="single" w:sz="8" w:space="0" w:color="000000"/>
              <w:left w:val="single" w:sz="8" w:space="0" w:color="000000"/>
              <w:bottom w:val="single" w:sz="8" w:space="0" w:color="000000"/>
              <w:right w:val="single" w:sz="8" w:space="0" w:color="000000"/>
            </w:tcBorders>
          </w:tcPr>
          <w:p w14:paraId="01AA7620" w14:textId="77777777" w:rsidR="00163139" w:rsidRPr="00163139" w:rsidRDefault="00163139" w:rsidP="00163139">
            <w:pPr>
              <w:spacing w:line="259" w:lineRule="auto"/>
              <w:ind w:left="85"/>
              <w:jc w:val="center"/>
              <w:rPr>
                <w:spacing w:val="-5"/>
                <w:lang w:eastAsia="en-US"/>
              </w:rPr>
            </w:pPr>
            <w:r w:rsidRPr="00163139">
              <w:rPr>
                <w:spacing w:val="-5"/>
                <w:sz w:val="21"/>
                <w:lang w:eastAsia="en-US"/>
              </w:rPr>
              <w:t>150.0</w:t>
            </w:r>
          </w:p>
        </w:tc>
        <w:tc>
          <w:tcPr>
            <w:tcW w:w="1101" w:type="dxa"/>
            <w:tcBorders>
              <w:top w:val="single" w:sz="8" w:space="0" w:color="000000"/>
              <w:left w:val="single" w:sz="8" w:space="0" w:color="000000"/>
              <w:bottom w:val="single" w:sz="8" w:space="0" w:color="000000"/>
              <w:right w:val="single" w:sz="8" w:space="0" w:color="000000"/>
            </w:tcBorders>
          </w:tcPr>
          <w:p w14:paraId="038257C9" w14:textId="77777777" w:rsidR="00163139" w:rsidRPr="00163139" w:rsidRDefault="00163139" w:rsidP="00163139">
            <w:pPr>
              <w:spacing w:line="259" w:lineRule="auto"/>
              <w:ind w:left="104"/>
              <w:rPr>
                <w:spacing w:val="-5"/>
                <w:lang w:eastAsia="en-US"/>
              </w:rPr>
            </w:pPr>
            <w:r w:rsidRPr="00163139">
              <w:rPr>
                <w:spacing w:val="-5"/>
                <w:sz w:val="21"/>
                <w:lang w:eastAsia="en-US"/>
              </w:rPr>
              <w:t>365 days</w:t>
            </w:r>
          </w:p>
        </w:tc>
        <w:tc>
          <w:tcPr>
            <w:tcW w:w="1101" w:type="dxa"/>
            <w:tcBorders>
              <w:top w:val="single" w:sz="8" w:space="0" w:color="000000"/>
              <w:left w:val="single" w:sz="8" w:space="0" w:color="000000"/>
              <w:bottom w:val="single" w:sz="8" w:space="0" w:color="000000"/>
              <w:right w:val="single" w:sz="8" w:space="0" w:color="000000"/>
            </w:tcBorders>
          </w:tcPr>
          <w:p w14:paraId="3A6E694D" w14:textId="77777777" w:rsidR="00163139" w:rsidRPr="00163139" w:rsidRDefault="00163139" w:rsidP="00163139">
            <w:pPr>
              <w:spacing w:line="259" w:lineRule="auto"/>
              <w:ind w:left="88"/>
              <w:jc w:val="center"/>
              <w:rPr>
                <w:spacing w:val="-5"/>
                <w:lang w:eastAsia="en-US"/>
              </w:rPr>
            </w:pPr>
            <w:r w:rsidRPr="00163139">
              <w:rPr>
                <w:spacing w:val="-5"/>
                <w:sz w:val="21"/>
                <w:lang w:eastAsia="en-US"/>
              </w:rPr>
              <w:t>-</w:t>
            </w:r>
          </w:p>
        </w:tc>
        <w:tc>
          <w:tcPr>
            <w:tcW w:w="1101" w:type="dxa"/>
            <w:tcBorders>
              <w:top w:val="single" w:sz="8" w:space="0" w:color="000000"/>
              <w:left w:val="single" w:sz="8" w:space="0" w:color="000000"/>
              <w:bottom w:val="single" w:sz="8" w:space="0" w:color="000000"/>
              <w:right w:val="single" w:sz="8" w:space="0" w:color="000000"/>
            </w:tcBorders>
          </w:tcPr>
          <w:p w14:paraId="38CA910C" w14:textId="77777777" w:rsidR="00163139" w:rsidRPr="00163139" w:rsidRDefault="00163139" w:rsidP="00163139">
            <w:pPr>
              <w:spacing w:line="259" w:lineRule="auto"/>
              <w:ind w:left="87"/>
              <w:jc w:val="center"/>
              <w:rPr>
                <w:spacing w:val="-5"/>
                <w:lang w:eastAsia="en-US"/>
              </w:rPr>
            </w:pPr>
            <w:r w:rsidRPr="00163139">
              <w:rPr>
                <w:spacing w:val="-5"/>
                <w:sz w:val="21"/>
                <w:lang w:eastAsia="en-US"/>
              </w:rPr>
              <w:t>-</w:t>
            </w:r>
          </w:p>
        </w:tc>
      </w:tr>
    </w:tbl>
    <w:p w14:paraId="0AD2F7AE" w14:textId="77777777" w:rsidR="00163139" w:rsidRPr="001533EE" w:rsidRDefault="00163139" w:rsidP="000B3EB6">
      <w:pPr>
        <w:ind w:left="567"/>
        <w:rPr>
          <w:rFonts w:cs="Arial"/>
          <w:sz w:val="24"/>
          <w:szCs w:val="24"/>
        </w:rPr>
      </w:pPr>
    </w:p>
    <w:p w14:paraId="2BA644D3" w14:textId="24AB0B00" w:rsidR="00C877F2" w:rsidRPr="001533EE" w:rsidRDefault="00C877F2" w:rsidP="000B3EB6">
      <w:pPr>
        <w:ind w:left="567"/>
        <w:rPr>
          <w:rFonts w:cs="Arial"/>
          <w:sz w:val="24"/>
          <w:szCs w:val="24"/>
        </w:rPr>
      </w:pPr>
    </w:p>
    <w:bookmarkEnd w:id="32"/>
    <w:p w14:paraId="677A60D4" w14:textId="71542276" w:rsidR="009472CA" w:rsidRPr="001533EE" w:rsidRDefault="009472CA" w:rsidP="004C1CEF">
      <w:pPr>
        <w:autoSpaceDE w:val="0"/>
        <w:autoSpaceDN w:val="0"/>
        <w:adjustRightInd w:val="0"/>
        <w:spacing w:before="100" w:after="100"/>
        <w:ind w:left="7938"/>
        <w:rPr>
          <w:rFonts w:cs="Arial"/>
          <w:b/>
          <w:bCs/>
          <w:sz w:val="24"/>
          <w:szCs w:val="24"/>
          <w:lang w:eastAsia="en-US"/>
        </w:rPr>
      </w:pPr>
      <w:r w:rsidRPr="001533EE">
        <w:rPr>
          <w:rFonts w:cs="Arial"/>
          <w:b/>
          <w:bCs/>
          <w:sz w:val="24"/>
          <w:szCs w:val="24"/>
        </w:rPr>
        <w:t>APPENDIX</w:t>
      </w:r>
      <w:r w:rsidR="007C1D12" w:rsidRPr="001533EE">
        <w:rPr>
          <w:rFonts w:cs="Arial"/>
          <w:b/>
          <w:bCs/>
          <w:sz w:val="24"/>
          <w:szCs w:val="24"/>
        </w:rPr>
        <w:t xml:space="preserve"> C</w:t>
      </w:r>
    </w:p>
    <w:p w14:paraId="5CE18512" w14:textId="77777777" w:rsidR="009472CA" w:rsidRPr="001533EE" w:rsidRDefault="009472CA" w:rsidP="009472CA">
      <w:pPr>
        <w:autoSpaceDE w:val="0"/>
        <w:autoSpaceDN w:val="0"/>
        <w:adjustRightInd w:val="0"/>
        <w:spacing w:before="100" w:after="100"/>
        <w:ind w:left="567"/>
        <w:jc w:val="both"/>
        <w:rPr>
          <w:rFonts w:cs="Arial"/>
          <w:b/>
          <w:bCs/>
          <w:sz w:val="24"/>
          <w:szCs w:val="24"/>
        </w:rPr>
      </w:pPr>
      <w:r w:rsidRPr="001533EE">
        <w:rPr>
          <w:rFonts w:cs="Arial"/>
          <w:b/>
          <w:bCs/>
          <w:sz w:val="24"/>
          <w:szCs w:val="24"/>
        </w:rPr>
        <w:t>TREASURY MANAGEMENT SCHEME OF DELEGATION</w:t>
      </w:r>
    </w:p>
    <w:p w14:paraId="2F6C1A84" w14:textId="77777777" w:rsidR="00826FB6" w:rsidRPr="001533EE" w:rsidRDefault="00826FB6" w:rsidP="00826FB6">
      <w:pPr>
        <w:autoSpaceDE w:val="0"/>
        <w:autoSpaceDN w:val="0"/>
        <w:adjustRightInd w:val="0"/>
        <w:spacing w:before="100" w:after="100"/>
        <w:jc w:val="both"/>
        <w:rPr>
          <w:rFonts w:cs="Arial"/>
          <w:b/>
          <w:bCs/>
          <w:sz w:val="24"/>
          <w:szCs w:val="24"/>
        </w:rPr>
      </w:pPr>
    </w:p>
    <w:p w14:paraId="3FDF7015" w14:textId="1ACB5B7F" w:rsidR="004C1CEF" w:rsidRDefault="007C580A" w:rsidP="004C1CEF">
      <w:pPr>
        <w:autoSpaceDE w:val="0"/>
        <w:autoSpaceDN w:val="0"/>
        <w:adjustRightInd w:val="0"/>
        <w:spacing w:before="100" w:after="100"/>
        <w:ind w:firstLine="567"/>
        <w:jc w:val="both"/>
        <w:rPr>
          <w:rFonts w:cs="Arial"/>
          <w:b/>
          <w:bCs/>
          <w:sz w:val="24"/>
          <w:szCs w:val="24"/>
        </w:rPr>
      </w:pPr>
      <w:r w:rsidRPr="00115282">
        <w:rPr>
          <w:rFonts w:cs="Arial"/>
          <w:b/>
          <w:bCs/>
          <w:sz w:val="24"/>
          <w:szCs w:val="24"/>
        </w:rPr>
        <w:t>Mayor</w:t>
      </w:r>
      <w:r w:rsidR="00C134E8">
        <w:rPr>
          <w:rFonts w:cs="Arial"/>
          <w:b/>
          <w:bCs/>
          <w:sz w:val="24"/>
          <w:szCs w:val="24"/>
        </w:rPr>
        <w:t>/Deputy Mayor</w:t>
      </w:r>
    </w:p>
    <w:p w14:paraId="35EECEB5" w14:textId="5E034E4B" w:rsidR="009472CA" w:rsidRPr="004C1CEF" w:rsidRDefault="009472CA" w:rsidP="006A2F03">
      <w:pPr>
        <w:pStyle w:val="ListParagraph"/>
        <w:numPr>
          <w:ilvl w:val="0"/>
          <w:numId w:val="31"/>
        </w:numPr>
        <w:autoSpaceDE w:val="0"/>
        <w:autoSpaceDN w:val="0"/>
        <w:adjustRightInd w:val="0"/>
        <w:spacing w:before="100" w:after="100"/>
        <w:ind w:left="1134" w:hanging="207"/>
        <w:jc w:val="both"/>
        <w:rPr>
          <w:rFonts w:cs="Arial"/>
          <w:b/>
          <w:bCs/>
          <w:sz w:val="24"/>
          <w:szCs w:val="24"/>
        </w:rPr>
      </w:pPr>
      <w:r w:rsidRPr="004C1CEF">
        <w:rPr>
          <w:rFonts w:cs="Arial"/>
          <w:sz w:val="24"/>
          <w:szCs w:val="24"/>
        </w:rPr>
        <w:t xml:space="preserve">receiving and reviewing reports on treasury management policies, </w:t>
      </w:r>
      <w:r w:rsidR="00E537D7" w:rsidRPr="004C1CEF">
        <w:rPr>
          <w:rFonts w:cs="Arial"/>
          <w:sz w:val="24"/>
          <w:szCs w:val="24"/>
        </w:rPr>
        <w:t>practices,</w:t>
      </w:r>
      <w:r w:rsidRPr="004C1CEF">
        <w:rPr>
          <w:rFonts w:cs="Arial"/>
          <w:sz w:val="24"/>
          <w:szCs w:val="24"/>
        </w:rPr>
        <w:t xml:space="preserve"> and</w:t>
      </w:r>
      <w:r w:rsidR="00826FB6" w:rsidRPr="004C1CEF">
        <w:rPr>
          <w:rFonts w:cs="Arial"/>
          <w:sz w:val="24"/>
          <w:szCs w:val="24"/>
        </w:rPr>
        <w:t xml:space="preserve"> </w:t>
      </w:r>
      <w:r w:rsidRPr="004C1CEF">
        <w:rPr>
          <w:rFonts w:cs="Arial"/>
          <w:sz w:val="24"/>
          <w:szCs w:val="24"/>
        </w:rPr>
        <w:t>activities.</w:t>
      </w:r>
    </w:p>
    <w:p w14:paraId="257CD01F" w14:textId="3292417A" w:rsidR="009472CA" w:rsidRPr="001533EE" w:rsidRDefault="009472CA" w:rsidP="006A2F03">
      <w:pPr>
        <w:numPr>
          <w:ilvl w:val="0"/>
          <w:numId w:val="25"/>
        </w:numPr>
        <w:autoSpaceDE w:val="0"/>
        <w:autoSpaceDN w:val="0"/>
        <w:adjustRightInd w:val="0"/>
        <w:spacing w:before="100" w:after="100"/>
        <w:ind w:left="1134" w:hanging="207"/>
        <w:jc w:val="both"/>
        <w:rPr>
          <w:rFonts w:cs="Arial"/>
          <w:b/>
          <w:bCs/>
          <w:sz w:val="24"/>
          <w:szCs w:val="24"/>
        </w:rPr>
      </w:pPr>
      <w:r w:rsidRPr="001533EE">
        <w:rPr>
          <w:rFonts w:cs="Arial"/>
          <w:sz w:val="24"/>
          <w:szCs w:val="24"/>
        </w:rPr>
        <w:t>approval of annual strategy.</w:t>
      </w:r>
    </w:p>
    <w:p w14:paraId="41350598" w14:textId="77777777" w:rsidR="00826FB6" w:rsidRPr="001533EE" w:rsidRDefault="00826FB6" w:rsidP="006A2F03">
      <w:pPr>
        <w:numPr>
          <w:ilvl w:val="0"/>
          <w:numId w:val="25"/>
        </w:numPr>
        <w:autoSpaceDE w:val="0"/>
        <w:autoSpaceDN w:val="0"/>
        <w:adjustRightInd w:val="0"/>
        <w:spacing w:before="100" w:after="100"/>
        <w:ind w:left="1134" w:hanging="207"/>
        <w:jc w:val="both"/>
        <w:rPr>
          <w:rFonts w:cs="Arial"/>
          <w:b/>
          <w:bCs/>
          <w:sz w:val="24"/>
          <w:szCs w:val="24"/>
        </w:rPr>
      </w:pPr>
      <w:r w:rsidRPr="001533EE">
        <w:rPr>
          <w:rFonts w:cs="Arial"/>
          <w:sz w:val="24"/>
          <w:szCs w:val="24"/>
        </w:rPr>
        <w:t>receiving and reviewing regular monitoring reports and acting on recommendations.</w:t>
      </w:r>
    </w:p>
    <w:p w14:paraId="652A3AFC" w14:textId="4D671B38" w:rsidR="009472CA" w:rsidRPr="001533EE" w:rsidRDefault="009472CA" w:rsidP="006A2F03">
      <w:pPr>
        <w:numPr>
          <w:ilvl w:val="0"/>
          <w:numId w:val="25"/>
        </w:numPr>
        <w:autoSpaceDE w:val="0"/>
        <w:autoSpaceDN w:val="0"/>
        <w:adjustRightInd w:val="0"/>
        <w:spacing w:before="100" w:after="100"/>
        <w:ind w:left="1134" w:hanging="207"/>
        <w:jc w:val="both"/>
        <w:rPr>
          <w:rFonts w:cs="Arial"/>
          <w:b/>
          <w:bCs/>
          <w:sz w:val="24"/>
          <w:szCs w:val="24"/>
        </w:rPr>
      </w:pPr>
      <w:r w:rsidRPr="001533EE">
        <w:rPr>
          <w:rFonts w:cs="Arial"/>
          <w:sz w:val="24"/>
          <w:szCs w:val="24"/>
        </w:rPr>
        <w:t>approval of/amendments to the organisation’s adopted clauses, treasury management policy statement and treasury management practices.</w:t>
      </w:r>
    </w:p>
    <w:p w14:paraId="2025D560" w14:textId="7DFBF634" w:rsidR="009472CA" w:rsidRPr="001533EE" w:rsidRDefault="009472CA" w:rsidP="006A2F03">
      <w:pPr>
        <w:numPr>
          <w:ilvl w:val="0"/>
          <w:numId w:val="25"/>
        </w:numPr>
        <w:autoSpaceDE w:val="0"/>
        <w:autoSpaceDN w:val="0"/>
        <w:adjustRightInd w:val="0"/>
        <w:spacing w:before="100" w:after="100"/>
        <w:ind w:left="1134" w:hanging="207"/>
        <w:jc w:val="both"/>
        <w:rPr>
          <w:rFonts w:cs="Arial"/>
          <w:b/>
          <w:bCs/>
          <w:sz w:val="24"/>
          <w:szCs w:val="24"/>
        </w:rPr>
      </w:pPr>
      <w:r w:rsidRPr="001533EE">
        <w:rPr>
          <w:rFonts w:cs="Arial"/>
          <w:sz w:val="24"/>
          <w:szCs w:val="24"/>
        </w:rPr>
        <w:t>budget consideration and approval.</w:t>
      </w:r>
    </w:p>
    <w:p w14:paraId="66779911" w14:textId="4B6A91E9" w:rsidR="009472CA" w:rsidRPr="001533EE" w:rsidRDefault="009472CA" w:rsidP="006A2F03">
      <w:pPr>
        <w:numPr>
          <w:ilvl w:val="0"/>
          <w:numId w:val="25"/>
        </w:numPr>
        <w:autoSpaceDE w:val="0"/>
        <w:autoSpaceDN w:val="0"/>
        <w:adjustRightInd w:val="0"/>
        <w:spacing w:before="100" w:after="100"/>
        <w:ind w:left="1134" w:hanging="207"/>
        <w:jc w:val="both"/>
        <w:rPr>
          <w:rFonts w:cs="Arial"/>
          <w:b/>
          <w:bCs/>
          <w:sz w:val="24"/>
          <w:szCs w:val="24"/>
        </w:rPr>
      </w:pPr>
      <w:r w:rsidRPr="001533EE">
        <w:rPr>
          <w:rFonts w:cs="Arial"/>
          <w:sz w:val="24"/>
          <w:szCs w:val="24"/>
        </w:rPr>
        <w:t>approval of the division of responsibilities.</w:t>
      </w:r>
    </w:p>
    <w:p w14:paraId="22AAD757" w14:textId="77777777" w:rsidR="009472CA" w:rsidRPr="001533EE" w:rsidRDefault="009472CA" w:rsidP="006A2F03">
      <w:pPr>
        <w:numPr>
          <w:ilvl w:val="0"/>
          <w:numId w:val="25"/>
        </w:numPr>
        <w:autoSpaceDE w:val="0"/>
        <w:autoSpaceDN w:val="0"/>
        <w:adjustRightInd w:val="0"/>
        <w:spacing w:before="100" w:after="100"/>
        <w:ind w:left="1134" w:hanging="207"/>
        <w:jc w:val="both"/>
        <w:rPr>
          <w:rFonts w:cs="Arial"/>
          <w:b/>
          <w:bCs/>
          <w:sz w:val="24"/>
          <w:szCs w:val="24"/>
        </w:rPr>
      </w:pPr>
      <w:r w:rsidRPr="001533EE">
        <w:rPr>
          <w:rFonts w:cs="Arial"/>
          <w:sz w:val="24"/>
          <w:szCs w:val="24"/>
        </w:rPr>
        <w:t>approving the selection of external service providers and agreeing terms of appointment.</w:t>
      </w:r>
    </w:p>
    <w:p w14:paraId="0F13DB9B" w14:textId="77777777" w:rsidR="009472CA" w:rsidRPr="001533EE" w:rsidRDefault="009472CA" w:rsidP="009472CA">
      <w:pPr>
        <w:autoSpaceDE w:val="0"/>
        <w:autoSpaceDN w:val="0"/>
        <w:adjustRightInd w:val="0"/>
        <w:spacing w:before="100" w:after="100"/>
        <w:ind w:left="1134" w:hanging="567"/>
        <w:jc w:val="both"/>
        <w:rPr>
          <w:rFonts w:cs="Arial"/>
          <w:b/>
          <w:bCs/>
          <w:sz w:val="24"/>
          <w:szCs w:val="24"/>
        </w:rPr>
      </w:pPr>
    </w:p>
    <w:p w14:paraId="07DC893A" w14:textId="29D7470A" w:rsidR="009472CA" w:rsidRPr="001533EE" w:rsidRDefault="004C1CEF" w:rsidP="009472CA">
      <w:pPr>
        <w:autoSpaceDE w:val="0"/>
        <w:autoSpaceDN w:val="0"/>
        <w:adjustRightInd w:val="0"/>
        <w:spacing w:before="100" w:after="100"/>
        <w:ind w:left="1134" w:hanging="567"/>
        <w:jc w:val="both"/>
        <w:rPr>
          <w:rFonts w:cs="Arial"/>
          <w:b/>
          <w:bCs/>
          <w:sz w:val="24"/>
          <w:szCs w:val="24"/>
        </w:rPr>
      </w:pPr>
      <w:r>
        <w:rPr>
          <w:rFonts w:cs="Arial"/>
          <w:b/>
          <w:bCs/>
          <w:sz w:val="24"/>
          <w:szCs w:val="24"/>
        </w:rPr>
        <w:t xml:space="preserve">Independent </w:t>
      </w:r>
      <w:r w:rsidR="009472CA" w:rsidRPr="001533EE">
        <w:rPr>
          <w:rFonts w:cs="Arial"/>
          <w:b/>
          <w:bCs/>
          <w:sz w:val="24"/>
          <w:szCs w:val="24"/>
        </w:rPr>
        <w:t xml:space="preserve">Audit Committee </w:t>
      </w:r>
    </w:p>
    <w:p w14:paraId="32892739" w14:textId="4D0CA784" w:rsidR="009472CA" w:rsidRPr="001533EE" w:rsidRDefault="009506E2" w:rsidP="006A2F03">
      <w:pPr>
        <w:numPr>
          <w:ilvl w:val="0"/>
          <w:numId w:val="23"/>
        </w:numPr>
        <w:tabs>
          <w:tab w:val="left" w:pos="1134"/>
        </w:tabs>
        <w:autoSpaceDE w:val="0"/>
        <w:autoSpaceDN w:val="0"/>
        <w:adjustRightInd w:val="0"/>
        <w:spacing w:before="100" w:after="100"/>
        <w:ind w:left="1276" w:hanging="283"/>
        <w:jc w:val="both"/>
        <w:rPr>
          <w:rFonts w:cs="Arial"/>
          <w:sz w:val="24"/>
          <w:szCs w:val="24"/>
        </w:rPr>
      </w:pPr>
      <w:r w:rsidRPr="001533EE">
        <w:rPr>
          <w:rFonts w:cs="Arial"/>
          <w:sz w:val="24"/>
          <w:szCs w:val="24"/>
        </w:rPr>
        <w:t xml:space="preserve">  </w:t>
      </w:r>
      <w:r w:rsidR="009472CA" w:rsidRPr="001533EE">
        <w:rPr>
          <w:rFonts w:cs="Arial"/>
          <w:sz w:val="24"/>
          <w:szCs w:val="24"/>
        </w:rPr>
        <w:t>reviewing the treasury management policy and procedures and making</w:t>
      </w:r>
      <w:r w:rsidRPr="001533EE">
        <w:rPr>
          <w:rFonts w:cs="Arial"/>
          <w:sz w:val="24"/>
          <w:szCs w:val="24"/>
        </w:rPr>
        <w:t xml:space="preserve"> </w:t>
      </w:r>
      <w:r w:rsidR="009472CA" w:rsidRPr="001533EE">
        <w:rPr>
          <w:rFonts w:cs="Arial"/>
          <w:sz w:val="24"/>
          <w:szCs w:val="24"/>
        </w:rPr>
        <w:t>recommendations to the responsible body.</w:t>
      </w:r>
    </w:p>
    <w:p w14:paraId="52B2958A" w14:textId="77777777" w:rsidR="009472CA" w:rsidRPr="001533EE" w:rsidRDefault="009472CA" w:rsidP="009472CA">
      <w:pPr>
        <w:rPr>
          <w:rFonts w:cs="Arial"/>
          <w:b/>
          <w:sz w:val="24"/>
          <w:szCs w:val="24"/>
        </w:rPr>
      </w:pPr>
    </w:p>
    <w:p w14:paraId="281FB530" w14:textId="77777777" w:rsidR="009472CA" w:rsidRPr="001533EE" w:rsidRDefault="009472CA" w:rsidP="009472CA">
      <w:pPr>
        <w:rPr>
          <w:rFonts w:cs="Arial"/>
          <w:b/>
          <w:sz w:val="24"/>
          <w:szCs w:val="24"/>
        </w:rPr>
      </w:pPr>
    </w:p>
    <w:p w14:paraId="6376B50C" w14:textId="05A6D450" w:rsidR="009472CA" w:rsidRPr="001533EE" w:rsidRDefault="009472CA" w:rsidP="009472CA">
      <w:pPr>
        <w:rPr>
          <w:rFonts w:cs="Arial"/>
          <w:b/>
          <w:bCs/>
          <w:sz w:val="24"/>
          <w:szCs w:val="24"/>
          <w:highlight w:val="yellow"/>
        </w:rPr>
      </w:pPr>
    </w:p>
    <w:p w14:paraId="6C2BBC07" w14:textId="64D956DF" w:rsidR="00826FB6" w:rsidRPr="001533EE" w:rsidRDefault="00826FB6" w:rsidP="009472CA">
      <w:pPr>
        <w:rPr>
          <w:rFonts w:cs="Arial"/>
          <w:b/>
          <w:bCs/>
          <w:sz w:val="24"/>
          <w:szCs w:val="24"/>
          <w:highlight w:val="yellow"/>
        </w:rPr>
      </w:pPr>
    </w:p>
    <w:p w14:paraId="00E68C72" w14:textId="27A6A651" w:rsidR="00826FB6" w:rsidRPr="001533EE" w:rsidRDefault="00826FB6" w:rsidP="009472CA">
      <w:pPr>
        <w:rPr>
          <w:rFonts w:cs="Arial"/>
          <w:b/>
          <w:bCs/>
          <w:sz w:val="24"/>
          <w:szCs w:val="24"/>
          <w:highlight w:val="yellow"/>
        </w:rPr>
      </w:pPr>
    </w:p>
    <w:p w14:paraId="3F472E0B" w14:textId="28BE3F51" w:rsidR="00826FB6" w:rsidRPr="001533EE" w:rsidRDefault="00826FB6" w:rsidP="009472CA">
      <w:pPr>
        <w:rPr>
          <w:rFonts w:cs="Arial"/>
          <w:b/>
          <w:bCs/>
          <w:sz w:val="24"/>
          <w:szCs w:val="24"/>
          <w:highlight w:val="yellow"/>
        </w:rPr>
      </w:pPr>
    </w:p>
    <w:p w14:paraId="258FC405" w14:textId="175FB322" w:rsidR="00826FB6" w:rsidRPr="001533EE" w:rsidRDefault="00826FB6" w:rsidP="009472CA">
      <w:pPr>
        <w:rPr>
          <w:rFonts w:cs="Arial"/>
          <w:b/>
          <w:bCs/>
          <w:sz w:val="24"/>
          <w:szCs w:val="24"/>
          <w:highlight w:val="yellow"/>
        </w:rPr>
      </w:pPr>
    </w:p>
    <w:p w14:paraId="4D67E57C" w14:textId="25DBA07D" w:rsidR="00826FB6" w:rsidRPr="001533EE" w:rsidRDefault="00826FB6" w:rsidP="009472CA">
      <w:pPr>
        <w:rPr>
          <w:rFonts w:cs="Arial"/>
          <w:b/>
          <w:bCs/>
          <w:sz w:val="24"/>
          <w:szCs w:val="24"/>
          <w:highlight w:val="yellow"/>
        </w:rPr>
      </w:pPr>
    </w:p>
    <w:p w14:paraId="75A89819" w14:textId="5FDFFC3A" w:rsidR="00826FB6" w:rsidRPr="001533EE" w:rsidRDefault="00826FB6" w:rsidP="009472CA">
      <w:pPr>
        <w:rPr>
          <w:rFonts w:cs="Arial"/>
          <w:b/>
          <w:bCs/>
          <w:sz w:val="24"/>
          <w:szCs w:val="24"/>
          <w:highlight w:val="yellow"/>
        </w:rPr>
      </w:pPr>
    </w:p>
    <w:p w14:paraId="2EDC34BB" w14:textId="50DFC6D8" w:rsidR="00826FB6" w:rsidRPr="001533EE" w:rsidRDefault="00826FB6" w:rsidP="009472CA">
      <w:pPr>
        <w:rPr>
          <w:rFonts w:cs="Arial"/>
          <w:b/>
          <w:bCs/>
          <w:sz w:val="24"/>
          <w:szCs w:val="24"/>
          <w:highlight w:val="yellow"/>
        </w:rPr>
      </w:pPr>
    </w:p>
    <w:p w14:paraId="33DC2F4D" w14:textId="210F66DB" w:rsidR="00826FB6" w:rsidRPr="001533EE" w:rsidRDefault="00826FB6" w:rsidP="009472CA">
      <w:pPr>
        <w:rPr>
          <w:rFonts w:cs="Arial"/>
          <w:b/>
          <w:bCs/>
          <w:sz w:val="24"/>
          <w:szCs w:val="24"/>
          <w:highlight w:val="yellow"/>
        </w:rPr>
      </w:pPr>
    </w:p>
    <w:p w14:paraId="66E996C7" w14:textId="2A4A4B7A" w:rsidR="00826FB6" w:rsidRPr="001533EE" w:rsidRDefault="00826FB6" w:rsidP="009472CA">
      <w:pPr>
        <w:rPr>
          <w:rFonts w:cs="Arial"/>
          <w:b/>
          <w:bCs/>
          <w:sz w:val="24"/>
          <w:szCs w:val="24"/>
          <w:highlight w:val="yellow"/>
        </w:rPr>
      </w:pPr>
    </w:p>
    <w:p w14:paraId="7F3E5278" w14:textId="14EECCEB" w:rsidR="00826FB6" w:rsidRPr="001533EE" w:rsidRDefault="00826FB6" w:rsidP="009472CA">
      <w:pPr>
        <w:rPr>
          <w:rFonts w:cs="Arial"/>
          <w:b/>
          <w:bCs/>
          <w:sz w:val="24"/>
          <w:szCs w:val="24"/>
          <w:highlight w:val="yellow"/>
        </w:rPr>
      </w:pPr>
    </w:p>
    <w:p w14:paraId="283808A6" w14:textId="08B08167" w:rsidR="00826FB6" w:rsidRPr="001533EE" w:rsidRDefault="00826FB6" w:rsidP="009472CA">
      <w:pPr>
        <w:rPr>
          <w:rFonts w:cs="Arial"/>
          <w:b/>
          <w:bCs/>
          <w:sz w:val="24"/>
          <w:szCs w:val="24"/>
          <w:highlight w:val="yellow"/>
        </w:rPr>
      </w:pPr>
    </w:p>
    <w:p w14:paraId="76610FA0" w14:textId="04A16AB5" w:rsidR="00826FB6" w:rsidRPr="001533EE" w:rsidRDefault="00826FB6" w:rsidP="009472CA">
      <w:pPr>
        <w:rPr>
          <w:rFonts w:cs="Arial"/>
          <w:b/>
          <w:bCs/>
          <w:sz w:val="24"/>
          <w:szCs w:val="24"/>
          <w:highlight w:val="yellow"/>
        </w:rPr>
      </w:pPr>
    </w:p>
    <w:p w14:paraId="3F8765B7" w14:textId="4855EDA7" w:rsidR="00826FB6" w:rsidRPr="001533EE" w:rsidRDefault="00826FB6" w:rsidP="009472CA">
      <w:pPr>
        <w:rPr>
          <w:rFonts w:cs="Arial"/>
          <w:b/>
          <w:bCs/>
          <w:sz w:val="24"/>
          <w:szCs w:val="24"/>
          <w:highlight w:val="yellow"/>
        </w:rPr>
      </w:pPr>
    </w:p>
    <w:p w14:paraId="238B0725" w14:textId="279DEA5D" w:rsidR="00826FB6" w:rsidRPr="001533EE" w:rsidRDefault="00826FB6" w:rsidP="009472CA">
      <w:pPr>
        <w:rPr>
          <w:rFonts w:cs="Arial"/>
          <w:b/>
          <w:bCs/>
          <w:sz w:val="24"/>
          <w:szCs w:val="24"/>
          <w:highlight w:val="yellow"/>
        </w:rPr>
      </w:pPr>
    </w:p>
    <w:p w14:paraId="7034B60B" w14:textId="3138B00B" w:rsidR="00826FB6" w:rsidRPr="001533EE" w:rsidRDefault="00826FB6" w:rsidP="009472CA">
      <w:pPr>
        <w:rPr>
          <w:rFonts w:cs="Arial"/>
          <w:b/>
          <w:bCs/>
          <w:sz w:val="24"/>
          <w:szCs w:val="24"/>
          <w:highlight w:val="yellow"/>
        </w:rPr>
      </w:pPr>
    </w:p>
    <w:p w14:paraId="66C66D23" w14:textId="6555BB11" w:rsidR="00826FB6" w:rsidRPr="001533EE" w:rsidRDefault="00826FB6" w:rsidP="009472CA">
      <w:pPr>
        <w:rPr>
          <w:rFonts w:cs="Arial"/>
          <w:b/>
          <w:bCs/>
          <w:sz w:val="24"/>
          <w:szCs w:val="24"/>
          <w:highlight w:val="yellow"/>
        </w:rPr>
      </w:pPr>
    </w:p>
    <w:p w14:paraId="24F675D6" w14:textId="1E13537C" w:rsidR="00826FB6" w:rsidRPr="001533EE" w:rsidRDefault="00826FB6" w:rsidP="009472CA">
      <w:pPr>
        <w:rPr>
          <w:rFonts w:cs="Arial"/>
          <w:b/>
          <w:bCs/>
          <w:sz w:val="24"/>
          <w:szCs w:val="24"/>
          <w:highlight w:val="yellow"/>
        </w:rPr>
      </w:pPr>
    </w:p>
    <w:p w14:paraId="66766D1F" w14:textId="68453D7D" w:rsidR="00826FB6" w:rsidRPr="001533EE" w:rsidRDefault="00826FB6" w:rsidP="009472CA">
      <w:pPr>
        <w:rPr>
          <w:rFonts w:cs="Arial"/>
          <w:b/>
          <w:bCs/>
          <w:sz w:val="24"/>
          <w:szCs w:val="24"/>
          <w:highlight w:val="yellow"/>
        </w:rPr>
      </w:pPr>
    </w:p>
    <w:p w14:paraId="4354CE95" w14:textId="278612BB" w:rsidR="00826FB6" w:rsidRDefault="00826FB6" w:rsidP="009472CA">
      <w:pPr>
        <w:rPr>
          <w:rFonts w:cs="Arial"/>
          <w:b/>
          <w:bCs/>
          <w:sz w:val="24"/>
          <w:szCs w:val="24"/>
          <w:highlight w:val="yellow"/>
        </w:rPr>
      </w:pPr>
    </w:p>
    <w:p w14:paraId="7F2B06E1" w14:textId="77777777" w:rsidR="00B55944" w:rsidRDefault="00B55944" w:rsidP="009472CA">
      <w:pPr>
        <w:rPr>
          <w:rFonts w:cs="Arial"/>
          <w:b/>
          <w:bCs/>
          <w:sz w:val="24"/>
          <w:szCs w:val="24"/>
          <w:highlight w:val="yellow"/>
        </w:rPr>
      </w:pPr>
    </w:p>
    <w:p w14:paraId="7F13711B" w14:textId="77777777" w:rsidR="00B55944" w:rsidRPr="001533EE" w:rsidRDefault="00B55944" w:rsidP="009472CA">
      <w:pPr>
        <w:rPr>
          <w:rFonts w:cs="Arial"/>
          <w:b/>
          <w:bCs/>
          <w:sz w:val="24"/>
          <w:szCs w:val="24"/>
          <w:highlight w:val="yellow"/>
        </w:rPr>
      </w:pPr>
    </w:p>
    <w:p w14:paraId="5D895949" w14:textId="79333F0D" w:rsidR="00826FB6" w:rsidRPr="001533EE" w:rsidRDefault="00826FB6" w:rsidP="009472CA">
      <w:pPr>
        <w:rPr>
          <w:rFonts w:cs="Arial"/>
          <w:b/>
          <w:bCs/>
          <w:sz w:val="24"/>
          <w:szCs w:val="24"/>
          <w:highlight w:val="yellow"/>
        </w:rPr>
      </w:pPr>
    </w:p>
    <w:p w14:paraId="3E06C764" w14:textId="251C0FF0" w:rsidR="00826FB6" w:rsidRPr="001533EE" w:rsidRDefault="00826FB6" w:rsidP="009472CA">
      <w:pPr>
        <w:rPr>
          <w:rFonts w:cs="Arial"/>
          <w:b/>
          <w:bCs/>
          <w:sz w:val="24"/>
          <w:szCs w:val="24"/>
          <w:highlight w:val="yellow"/>
        </w:rPr>
      </w:pPr>
    </w:p>
    <w:p w14:paraId="4CF9C34B" w14:textId="617622B7" w:rsidR="00826FB6" w:rsidRPr="001533EE" w:rsidRDefault="00826FB6" w:rsidP="009472CA">
      <w:pPr>
        <w:rPr>
          <w:rFonts w:cs="Arial"/>
          <w:b/>
          <w:bCs/>
          <w:sz w:val="24"/>
          <w:szCs w:val="24"/>
          <w:highlight w:val="yellow"/>
          <w:lang w:eastAsia="en-US"/>
        </w:rPr>
      </w:pPr>
    </w:p>
    <w:p w14:paraId="5C0C798E" w14:textId="779D1D33" w:rsidR="009472CA" w:rsidRPr="001533EE" w:rsidRDefault="009472CA" w:rsidP="009472CA">
      <w:pPr>
        <w:autoSpaceDE w:val="0"/>
        <w:autoSpaceDN w:val="0"/>
        <w:adjustRightInd w:val="0"/>
        <w:spacing w:before="100" w:after="100"/>
        <w:jc w:val="right"/>
        <w:rPr>
          <w:rFonts w:cs="Arial"/>
          <w:b/>
          <w:bCs/>
          <w:sz w:val="24"/>
          <w:szCs w:val="24"/>
        </w:rPr>
      </w:pPr>
      <w:r w:rsidRPr="001533EE">
        <w:rPr>
          <w:rFonts w:cs="Arial"/>
          <w:b/>
          <w:bCs/>
          <w:sz w:val="24"/>
          <w:szCs w:val="24"/>
        </w:rPr>
        <w:t xml:space="preserve">APPENDIX </w:t>
      </w:r>
      <w:r w:rsidR="007C1D12" w:rsidRPr="001533EE">
        <w:rPr>
          <w:rFonts w:cs="Arial"/>
          <w:b/>
          <w:bCs/>
          <w:sz w:val="24"/>
          <w:szCs w:val="24"/>
        </w:rPr>
        <w:t>D</w:t>
      </w:r>
    </w:p>
    <w:p w14:paraId="63A2D13A" w14:textId="77777777" w:rsidR="004C1CEF" w:rsidRDefault="004C1CEF" w:rsidP="00F94218">
      <w:pPr>
        <w:autoSpaceDE w:val="0"/>
        <w:autoSpaceDN w:val="0"/>
        <w:adjustRightInd w:val="0"/>
        <w:spacing w:before="100" w:after="100"/>
        <w:ind w:firstLine="567"/>
        <w:rPr>
          <w:rFonts w:cs="Arial"/>
          <w:b/>
          <w:bCs/>
          <w:sz w:val="24"/>
          <w:szCs w:val="24"/>
        </w:rPr>
      </w:pPr>
    </w:p>
    <w:p w14:paraId="6E1CD946" w14:textId="4A7BF795" w:rsidR="009472CA" w:rsidRPr="001533EE" w:rsidRDefault="009472CA" w:rsidP="005B1ECF">
      <w:pPr>
        <w:autoSpaceDE w:val="0"/>
        <w:autoSpaceDN w:val="0"/>
        <w:adjustRightInd w:val="0"/>
        <w:spacing w:before="100" w:after="100"/>
        <w:ind w:left="567"/>
        <w:rPr>
          <w:rFonts w:cs="Arial"/>
          <w:b/>
          <w:bCs/>
          <w:sz w:val="24"/>
          <w:szCs w:val="24"/>
        </w:rPr>
      </w:pPr>
      <w:r w:rsidRPr="001533EE">
        <w:rPr>
          <w:rFonts w:cs="Arial"/>
          <w:b/>
          <w:bCs/>
          <w:sz w:val="24"/>
          <w:szCs w:val="24"/>
        </w:rPr>
        <w:t xml:space="preserve">THE TREASURY MANAGEMENT ROLE OF THE </w:t>
      </w:r>
      <w:r w:rsidR="004C1CEF">
        <w:rPr>
          <w:rFonts w:cs="Arial"/>
          <w:b/>
          <w:bCs/>
          <w:sz w:val="24"/>
          <w:szCs w:val="24"/>
        </w:rPr>
        <w:t xml:space="preserve">DEPUTY S73 OFFICER </w:t>
      </w:r>
      <w:r w:rsidR="005B1ECF">
        <w:rPr>
          <w:rFonts w:cs="Arial"/>
          <w:b/>
          <w:bCs/>
          <w:sz w:val="24"/>
          <w:szCs w:val="24"/>
        </w:rPr>
        <w:t>FOR POLICE, FIRE AND CRIME FUNCTIONS</w:t>
      </w:r>
    </w:p>
    <w:p w14:paraId="6F5E7548" w14:textId="74987958" w:rsidR="000B3EB6" w:rsidRPr="001533EE" w:rsidRDefault="009472CA" w:rsidP="000B3EB6">
      <w:pPr>
        <w:autoSpaceDE w:val="0"/>
        <w:autoSpaceDN w:val="0"/>
        <w:adjustRightInd w:val="0"/>
        <w:spacing w:before="100" w:after="100"/>
        <w:ind w:left="567"/>
        <w:jc w:val="both"/>
        <w:rPr>
          <w:rFonts w:cs="Arial"/>
          <w:sz w:val="24"/>
          <w:szCs w:val="24"/>
        </w:rPr>
      </w:pPr>
      <w:r w:rsidRPr="00115282">
        <w:rPr>
          <w:rFonts w:cs="Arial"/>
          <w:sz w:val="24"/>
          <w:szCs w:val="24"/>
        </w:rPr>
        <w:t xml:space="preserve">The </w:t>
      </w:r>
      <w:r w:rsidR="007C580A" w:rsidRPr="00115282">
        <w:rPr>
          <w:rFonts w:cs="Arial"/>
          <w:sz w:val="24"/>
          <w:szCs w:val="24"/>
        </w:rPr>
        <w:t>Mayor</w:t>
      </w:r>
      <w:r w:rsidR="00C134E8">
        <w:rPr>
          <w:rFonts w:cs="Arial"/>
          <w:sz w:val="24"/>
          <w:szCs w:val="24"/>
        </w:rPr>
        <w:t>/Deputy Mayor</w:t>
      </w:r>
      <w:r w:rsidR="000B3EB6" w:rsidRPr="00115282">
        <w:rPr>
          <w:rFonts w:cs="Arial"/>
          <w:sz w:val="24"/>
          <w:szCs w:val="24"/>
        </w:rPr>
        <w:t xml:space="preserve"> </w:t>
      </w:r>
      <w:r w:rsidRPr="00115282">
        <w:rPr>
          <w:rFonts w:cs="Arial"/>
          <w:sz w:val="24"/>
          <w:szCs w:val="24"/>
        </w:rPr>
        <w:t>delegates</w:t>
      </w:r>
      <w:r w:rsidRPr="001533EE">
        <w:rPr>
          <w:rFonts w:cs="Arial"/>
          <w:sz w:val="24"/>
          <w:szCs w:val="24"/>
        </w:rPr>
        <w:t xml:space="preserve"> responsibility for the implementation and regular monitoring of its Treasury Management policies and practices to the</w:t>
      </w:r>
      <w:r w:rsidR="000B3EB6" w:rsidRPr="001533EE">
        <w:rPr>
          <w:rFonts w:cs="Arial"/>
          <w:sz w:val="24"/>
          <w:szCs w:val="24"/>
        </w:rPr>
        <w:t xml:space="preserve"> </w:t>
      </w:r>
      <w:r w:rsidR="005B1ECF">
        <w:rPr>
          <w:rFonts w:cs="Arial"/>
          <w:sz w:val="24"/>
          <w:szCs w:val="24"/>
        </w:rPr>
        <w:t xml:space="preserve">Deputy </w:t>
      </w:r>
      <w:r w:rsidR="000B3EB6" w:rsidRPr="001533EE">
        <w:rPr>
          <w:rFonts w:cs="Arial"/>
          <w:sz w:val="24"/>
          <w:szCs w:val="24"/>
        </w:rPr>
        <w:t>S</w:t>
      </w:r>
      <w:r w:rsidR="005B1ECF">
        <w:rPr>
          <w:rFonts w:cs="Arial"/>
          <w:sz w:val="24"/>
          <w:szCs w:val="24"/>
        </w:rPr>
        <w:t>73</w:t>
      </w:r>
      <w:r w:rsidR="000B3EB6" w:rsidRPr="001533EE">
        <w:rPr>
          <w:rFonts w:cs="Arial"/>
          <w:sz w:val="24"/>
          <w:szCs w:val="24"/>
        </w:rPr>
        <w:t xml:space="preserve"> Officer </w:t>
      </w:r>
      <w:r w:rsidR="005B1ECF">
        <w:rPr>
          <w:rFonts w:cs="Arial"/>
          <w:sz w:val="24"/>
          <w:szCs w:val="24"/>
        </w:rPr>
        <w:t xml:space="preserve">for Police, Fire and Crime Functions </w:t>
      </w:r>
      <w:r w:rsidR="000B3EB6" w:rsidRPr="001533EE">
        <w:rPr>
          <w:rFonts w:cs="Arial"/>
          <w:sz w:val="24"/>
          <w:szCs w:val="24"/>
        </w:rPr>
        <w:t xml:space="preserve">alongside </w:t>
      </w:r>
      <w:r w:rsidRPr="001533EE">
        <w:rPr>
          <w:rFonts w:cs="Arial"/>
          <w:sz w:val="24"/>
          <w:szCs w:val="24"/>
        </w:rPr>
        <w:t>the execution and administration of Treasury Management decisions</w:t>
      </w:r>
      <w:r w:rsidR="000B3EB6" w:rsidRPr="001533EE">
        <w:rPr>
          <w:rFonts w:cs="Arial"/>
          <w:sz w:val="24"/>
          <w:szCs w:val="24"/>
        </w:rPr>
        <w:t xml:space="preserve"> including any borrowing and debt rescheduling.</w:t>
      </w:r>
    </w:p>
    <w:p w14:paraId="1228FB4D" w14:textId="77777777" w:rsidR="009472CA" w:rsidRPr="001533EE" w:rsidRDefault="009472CA" w:rsidP="009472CA">
      <w:pPr>
        <w:autoSpaceDE w:val="0"/>
        <w:autoSpaceDN w:val="0"/>
        <w:adjustRightInd w:val="0"/>
        <w:spacing w:before="100" w:after="100"/>
        <w:ind w:left="567"/>
        <w:jc w:val="both"/>
        <w:rPr>
          <w:rFonts w:cs="Arial"/>
          <w:sz w:val="24"/>
          <w:szCs w:val="24"/>
        </w:rPr>
      </w:pPr>
    </w:p>
    <w:p w14:paraId="12D9D693" w14:textId="46CBA578" w:rsidR="000B3EB6" w:rsidRPr="001533EE" w:rsidRDefault="009472CA" w:rsidP="000B3EB6">
      <w:pPr>
        <w:autoSpaceDE w:val="0"/>
        <w:autoSpaceDN w:val="0"/>
        <w:adjustRightInd w:val="0"/>
        <w:spacing w:before="100" w:after="100"/>
        <w:ind w:firstLine="567"/>
        <w:jc w:val="both"/>
        <w:rPr>
          <w:rFonts w:cs="Arial"/>
          <w:b/>
          <w:bCs/>
          <w:sz w:val="24"/>
          <w:szCs w:val="24"/>
        </w:rPr>
      </w:pPr>
      <w:r w:rsidRPr="001533EE">
        <w:rPr>
          <w:rFonts w:cs="Arial"/>
          <w:b/>
          <w:bCs/>
          <w:sz w:val="24"/>
          <w:szCs w:val="24"/>
        </w:rPr>
        <w:t xml:space="preserve">The </w:t>
      </w:r>
      <w:r w:rsidR="005B1ECF">
        <w:rPr>
          <w:rFonts w:cs="Arial"/>
          <w:b/>
          <w:bCs/>
          <w:sz w:val="24"/>
          <w:szCs w:val="24"/>
        </w:rPr>
        <w:t>Deputy S73 Officer:</w:t>
      </w:r>
    </w:p>
    <w:p w14:paraId="554DDFC0" w14:textId="77777777" w:rsidR="009472CA" w:rsidRPr="001533EE" w:rsidRDefault="009472CA" w:rsidP="006A2F03">
      <w:pPr>
        <w:numPr>
          <w:ilvl w:val="0"/>
          <w:numId w:val="24"/>
        </w:numPr>
        <w:tabs>
          <w:tab w:val="clear" w:pos="1287"/>
          <w:tab w:val="num" w:pos="1134"/>
        </w:tabs>
        <w:autoSpaceDE w:val="0"/>
        <w:autoSpaceDN w:val="0"/>
        <w:adjustRightInd w:val="0"/>
        <w:spacing w:before="90" w:after="90"/>
        <w:ind w:left="1134" w:hanging="567"/>
        <w:jc w:val="both"/>
        <w:rPr>
          <w:rFonts w:cs="Arial"/>
          <w:sz w:val="24"/>
          <w:szCs w:val="24"/>
        </w:rPr>
      </w:pPr>
      <w:r w:rsidRPr="001533EE">
        <w:rPr>
          <w:rFonts w:cs="Arial"/>
          <w:sz w:val="24"/>
          <w:szCs w:val="24"/>
        </w:rPr>
        <w:t>recommending clauses, treasury management policy/practices for approval, reviewing the same regularly, and monitoring compliance.</w:t>
      </w:r>
    </w:p>
    <w:p w14:paraId="278D9FF8" w14:textId="77777777" w:rsidR="009472CA" w:rsidRPr="001533EE" w:rsidRDefault="009472CA" w:rsidP="006A2F03">
      <w:pPr>
        <w:numPr>
          <w:ilvl w:val="0"/>
          <w:numId w:val="24"/>
        </w:numPr>
        <w:tabs>
          <w:tab w:val="num" w:pos="1134"/>
        </w:tabs>
        <w:autoSpaceDE w:val="0"/>
        <w:autoSpaceDN w:val="0"/>
        <w:adjustRightInd w:val="0"/>
        <w:spacing w:before="90" w:after="90"/>
        <w:ind w:left="1134" w:hanging="567"/>
        <w:jc w:val="both"/>
        <w:rPr>
          <w:rFonts w:cs="Arial"/>
          <w:sz w:val="24"/>
          <w:szCs w:val="24"/>
        </w:rPr>
      </w:pPr>
      <w:r w:rsidRPr="001533EE">
        <w:rPr>
          <w:rFonts w:cs="Arial"/>
          <w:sz w:val="24"/>
          <w:szCs w:val="24"/>
        </w:rPr>
        <w:t>submitting regular treasury management policy reports.</w:t>
      </w:r>
    </w:p>
    <w:p w14:paraId="7F3EB10D" w14:textId="5E270792" w:rsidR="009472CA" w:rsidRPr="001533EE" w:rsidRDefault="009472CA" w:rsidP="006A2F03">
      <w:pPr>
        <w:numPr>
          <w:ilvl w:val="0"/>
          <w:numId w:val="24"/>
        </w:numPr>
        <w:tabs>
          <w:tab w:val="num" w:pos="1134"/>
        </w:tabs>
        <w:autoSpaceDE w:val="0"/>
        <w:autoSpaceDN w:val="0"/>
        <w:adjustRightInd w:val="0"/>
        <w:spacing w:before="90" w:after="90"/>
        <w:ind w:left="1134" w:hanging="567"/>
        <w:jc w:val="both"/>
        <w:rPr>
          <w:rFonts w:cs="Arial"/>
          <w:sz w:val="24"/>
          <w:szCs w:val="24"/>
        </w:rPr>
      </w:pPr>
      <w:r w:rsidRPr="001533EE">
        <w:rPr>
          <w:rFonts w:cs="Arial"/>
          <w:sz w:val="24"/>
          <w:szCs w:val="24"/>
        </w:rPr>
        <w:t xml:space="preserve">submitting </w:t>
      </w:r>
      <w:r w:rsidRPr="00B65A83">
        <w:rPr>
          <w:rFonts w:cs="Arial"/>
          <w:sz w:val="24"/>
          <w:szCs w:val="24"/>
        </w:rPr>
        <w:t>budgets and budget</w:t>
      </w:r>
      <w:r w:rsidR="00B65A83" w:rsidRPr="00B65A83">
        <w:rPr>
          <w:rFonts w:cs="Arial"/>
          <w:sz w:val="24"/>
          <w:szCs w:val="24"/>
        </w:rPr>
        <w:t xml:space="preserve"> </w:t>
      </w:r>
      <w:r w:rsidRPr="00B65A83">
        <w:rPr>
          <w:rFonts w:cs="Arial"/>
          <w:sz w:val="24"/>
          <w:szCs w:val="24"/>
        </w:rPr>
        <w:t>variations.</w:t>
      </w:r>
    </w:p>
    <w:p w14:paraId="231B3643" w14:textId="77777777" w:rsidR="009472CA" w:rsidRPr="001533EE" w:rsidRDefault="009472CA" w:rsidP="006A2F03">
      <w:pPr>
        <w:numPr>
          <w:ilvl w:val="0"/>
          <w:numId w:val="24"/>
        </w:numPr>
        <w:tabs>
          <w:tab w:val="num" w:pos="1134"/>
        </w:tabs>
        <w:autoSpaceDE w:val="0"/>
        <w:autoSpaceDN w:val="0"/>
        <w:adjustRightInd w:val="0"/>
        <w:spacing w:before="90" w:after="90"/>
        <w:ind w:left="1134" w:hanging="567"/>
        <w:jc w:val="both"/>
        <w:rPr>
          <w:rFonts w:cs="Arial"/>
          <w:sz w:val="24"/>
          <w:szCs w:val="24"/>
        </w:rPr>
      </w:pPr>
      <w:r w:rsidRPr="001533EE">
        <w:rPr>
          <w:rFonts w:cs="Arial"/>
          <w:sz w:val="24"/>
          <w:szCs w:val="24"/>
        </w:rPr>
        <w:t>receiving and reviewing management information reports.</w:t>
      </w:r>
    </w:p>
    <w:p w14:paraId="65FD699A" w14:textId="77777777" w:rsidR="009472CA" w:rsidRPr="001533EE" w:rsidRDefault="009472CA" w:rsidP="006A2F03">
      <w:pPr>
        <w:numPr>
          <w:ilvl w:val="0"/>
          <w:numId w:val="24"/>
        </w:numPr>
        <w:tabs>
          <w:tab w:val="num" w:pos="1134"/>
        </w:tabs>
        <w:autoSpaceDE w:val="0"/>
        <w:autoSpaceDN w:val="0"/>
        <w:adjustRightInd w:val="0"/>
        <w:spacing w:before="90" w:after="90"/>
        <w:ind w:left="1134" w:hanging="567"/>
        <w:jc w:val="both"/>
        <w:rPr>
          <w:rFonts w:cs="Arial"/>
          <w:sz w:val="24"/>
          <w:szCs w:val="24"/>
        </w:rPr>
      </w:pPr>
      <w:r w:rsidRPr="001533EE">
        <w:rPr>
          <w:rFonts w:cs="Arial"/>
          <w:sz w:val="24"/>
          <w:szCs w:val="24"/>
        </w:rPr>
        <w:t>reviewing the performance of the treasury management function.</w:t>
      </w:r>
    </w:p>
    <w:p w14:paraId="45C91ACD" w14:textId="77777777" w:rsidR="009472CA" w:rsidRPr="001533EE" w:rsidRDefault="009472CA" w:rsidP="006A2F03">
      <w:pPr>
        <w:numPr>
          <w:ilvl w:val="0"/>
          <w:numId w:val="24"/>
        </w:numPr>
        <w:tabs>
          <w:tab w:val="num" w:pos="1134"/>
        </w:tabs>
        <w:autoSpaceDE w:val="0"/>
        <w:autoSpaceDN w:val="0"/>
        <w:adjustRightInd w:val="0"/>
        <w:spacing w:before="90" w:after="90"/>
        <w:ind w:left="1134" w:hanging="567"/>
        <w:jc w:val="both"/>
        <w:rPr>
          <w:rFonts w:cs="Arial"/>
          <w:sz w:val="24"/>
          <w:szCs w:val="24"/>
        </w:rPr>
      </w:pPr>
      <w:r w:rsidRPr="001533EE">
        <w:rPr>
          <w:rFonts w:cs="Arial"/>
          <w:sz w:val="24"/>
          <w:szCs w:val="24"/>
        </w:rPr>
        <w:t>ensuring the adequacy of treasury management resources and skills, and the effective division of responsibilities within the treasury management function.</w:t>
      </w:r>
    </w:p>
    <w:p w14:paraId="4F160CDA" w14:textId="77777777" w:rsidR="009472CA" w:rsidRPr="001533EE" w:rsidRDefault="009472CA" w:rsidP="006A2F03">
      <w:pPr>
        <w:numPr>
          <w:ilvl w:val="0"/>
          <w:numId w:val="24"/>
        </w:numPr>
        <w:tabs>
          <w:tab w:val="num" w:pos="1134"/>
        </w:tabs>
        <w:autoSpaceDE w:val="0"/>
        <w:autoSpaceDN w:val="0"/>
        <w:adjustRightInd w:val="0"/>
        <w:spacing w:before="90" w:after="90"/>
        <w:ind w:left="1134" w:hanging="567"/>
        <w:jc w:val="both"/>
        <w:rPr>
          <w:rFonts w:cs="Arial"/>
          <w:sz w:val="24"/>
          <w:szCs w:val="24"/>
        </w:rPr>
      </w:pPr>
      <w:r w:rsidRPr="001533EE">
        <w:rPr>
          <w:rFonts w:cs="Arial"/>
          <w:sz w:val="24"/>
          <w:szCs w:val="24"/>
        </w:rPr>
        <w:t>ensuring the adequacy of internal audit and liaising with external audit.</w:t>
      </w:r>
    </w:p>
    <w:p w14:paraId="1BF7F3FE" w14:textId="77777777" w:rsidR="009472CA" w:rsidRPr="001533EE" w:rsidRDefault="009472CA" w:rsidP="006A2F03">
      <w:pPr>
        <w:numPr>
          <w:ilvl w:val="0"/>
          <w:numId w:val="24"/>
        </w:numPr>
        <w:tabs>
          <w:tab w:val="num" w:pos="1134"/>
        </w:tabs>
        <w:autoSpaceDE w:val="0"/>
        <w:autoSpaceDN w:val="0"/>
        <w:adjustRightInd w:val="0"/>
        <w:spacing w:before="90" w:after="90"/>
        <w:ind w:left="1134" w:hanging="567"/>
        <w:jc w:val="both"/>
        <w:rPr>
          <w:rFonts w:cs="Arial"/>
          <w:sz w:val="24"/>
          <w:szCs w:val="24"/>
        </w:rPr>
      </w:pPr>
      <w:r w:rsidRPr="001533EE">
        <w:rPr>
          <w:rFonts w:cs="Arial"/>
          <w:sz w:val="24"/>
          <w:szCs w:val="24"/>
        </w:rPr>
        <w:t xml:space="preserve">recommending the appointment of external service providers. </w:t>
      </w:r>
    </w:p>
    <w:p w14:paraId="1258273A" w14:textId="154AA002" w:rsidR="009472CA" w:rsidRPr="001533EE" w:rsidRDefault="009472CA" w:rsidP="006A2F03">
      <w:pPr>
        <w:numPr>
          <w:ilvl w:val="0"/>
          <w:numId w:val="24"/>
        </w:numPr>
        <w:tabs>
          <w:tab w:val="num" w:pos="1134"/>
        </w:tabs>
        <w:autoSpaceDE w:val="0"/>
        <w:autoSpaceDN w:val="0"/>
        <w:adjustRightInd w:val="0"/>
        <w:spacing w:before="90" w:after="90"/>
        <w:ind w:left="1134" w:hanging="567"/>
        <w:jc w:val="both"/>
        <w:rPr>
          <w:rFonts w:cs="Arial"/>
          <w:i/>
          <w:color w:val="0000FF"/>
          <w:sz w:val="24"/>
          <w:szCs w:val="24"/>
        </w:rPr>
      </w:pPr>
      <w:r w:rsidRPr="001533EE">
        <w:rPr>
          <w:rFonts w:cs="Arial"/>
          <w:sz w:val="24"/>
          <w:szCs w:val="24"/>
        </w:rPr>
        <w:t xml:space="preserve">preparation of a capital strategy to include </w:t>
      </w:r>
      <w:r w:rsidRPr="001533EE">
        <w:rPr>
          <w:rFonts w:cs="Arial"/>
          <w:bCs/>
          <w:sz w:val="24"/>
          <w:szCs w:val="24"/>
        </w:rPr>
        <w:t xml:space="preserve">capital expenditure, capital financing, non-financial </w:t>
      </w:r>
      <w:r w:rsidR="00E537D7" w:rsidRPr="001533EE">
        <w:rPr>
          <w:rFonts w:cs="Arial"/>
          <w:bCs/>
          <w:sz w:val="24"/>
          <w:szCs w:val="24"/>
        </w:rPr>
        <w:t>investments,</w:t>
      </w:r>
      <w:r w:rsidRPr="001533EE">
        <w:rPr>
          <w:rFonts w:cs="Arial"/>
          <w:bCs/>
          <w:sz w:val="24"/>
          <w:szCs w:val="24"/>
        </w:rPr>
        <w:t xml:space="preserve"> and treasury management, </w:t>
      </w:r>
      <w:r w:rsidRPr="001533EE">
        <w:rPr>
          <w:rFonts w:cs="Arial"/>
          <w:sz w:val="24"/>
          <w:szCs w:val="24"/>
        </w:rPr>
        <w:t>with a long-term timeframe</w:t>
      </w:r>
    </w:p>
    <w:p w14:paraId="5AE58847" w14:textId="10F1FAFE" w:rsidR="009472CA" w:rsidRPr="001533EE" w:rsidRDefault="009472CA" w:rsidP="006A2F03">
      <w:pPr>
        <w:numPr>
          <w:ilvl w:val="0"/>
          <w:numId w:val="24"/>
        </w:numPr>
        <w:tabs>
          <w:tab w:val="num" w:pos="1134"/>
        </w:tabs>
        <w:autoSpaceDE w:val="0"/>
        <w:autoSpaceDN w:val="0"/>
        <w:adjustRightInd w:val="0"/>
        <w:spacing w:before="90" w:after="90"/>
        <w:ind w:left="1134" w:hanging="567"/>
        <w:jc w:val="both"/>
        <w:rPr>
          <w:rFonts w:cs="Arial"/>
          <w:spacing w:val="-5"/>
          <w:sz w:val="24"/>
          <w:szCs w:val="24"/>
        </w:rPr>
      </w:pPr>
      <w:r w:rsidRPr="001533EE">
        <w:rPr>
          <w:rFonts w:cs="Arial"/>
          <w:sz w:val="24"/>
          <w:szCs w:val="24"/>
        </w:rPr>
        <w:t xml:space="preserve">ensuring that the capital strategy is sustainable, </w:t>
      </w:r>
      <w:r w:rsidR="00E537D7" w:rsidRPr="001533EE">
        <w:rPr>
          <w:rFonts w:cs="Arial"/>
          <w:sz w:val="24"/>
          <w:szCs w:val="24"/>
        </w:rPr>
        <w:t>affordable,</w:t>
      </w:r>
      <w:r w:rsidRPr="001533EE">
        <w:rPr>
          <w:rFonts w:cs="Arial"/>
          <w:sz w:val="24"/>
          <w:szCs w:val="24"/>
        </w:rPr>
        <w:t xml:space="preserve"> and prudent in the long term and provides value for money</w:t>
      </w:r>
    </w:p>
    <w:p w14:paraId="32A9EC14" w14:textId="77777777" w:rsidR="009472CA" w:rsidRPr="001533EE" w:rsidRDefault="009472CA" w:rsidP="006A2F03">
      <w:pPr>
        <w:numPr>
          <w:ilvl w:val="0"/>
          <w:numId w:val="24"/>
        </w:numPr>
        <w:tabs>
          <w:tab w:val="num" w:pos="1134"/>
        </w:tabs>
        <w:autoSpaceDE w:val="0"/>
        <w:autoSpaceDN w:val="0"/>
        <w:adjustRightInd w:val="0"/>
        <w:spacing w:before="90" w:after="90"/>
        <w:ind w:left="1134" w:hanging="567"/>
        <w:jc w:val="both"/>
        <w:rPr>
          <w:rFonts w:cs="Arial"/>
          <w:sz w:val="24"/>
          <w:szCs w:val="24"/>
        </w:rPr>
      </w:pPr>
      <w:r w:rsidRPr="001533EE">
        <w:rPr>
          <w:rFonts w:cs="Arial"/>
          <w:sz w:val="24"/>
          <w:szCs w:val="24"/>
        </w:rPr>
        <w:t>ensuring that due diligence has been carried out on all treasury and non-financial investments and is in accordance with the risk appetite of the authority</w:t>
      </w:r>
    </w:p>
    <w:p w14:paraId="3BD27E67" w14:textId="77777777" w:rsidR="009472CA" w:rsidRPr="001533EE" w:rsidRDefault="009472CA" w:rsidP="006A2F03">
      <w:pPr>
        <w:numPr>
          <w:ilvl w:val="0"/>
          <w:numId w:val="24"/>
        </w:numPr>
        <w:tabs>
          <w:tab w:val="num" w:pos="1134"/>
        </w:tabs>
        <w:autoSpaceDE w:val="0"/>
        <w:autoSpaceDN w:val="0"/>
        <w:adjustRightInd w:val="0"/>
        <w:spacing w:before="90" w:after="90"/>
        <w:ind w:left="1134" w:hanging="567"/>
        <w:jc w:val="both"/>
        <w:rPr>
          <w:rFonts w:cs="Arial"/>
          <w:sz w:val="24"/>
          <w:szCs w:val="24"/>
        </w:rPr>
      </w:pPr>
      <w:r w:rsidRPr="001533EE">
        <w:rPr>
          <w:rFonts w:cs="Arial"/>
          <w:sz w:val="24"/>
          <w:szCs w:val="24"/>
        </w:rPr>
        <w:t>ensure that the authority has appropriate legal powers to undertake expenditure on non-financial assets and their financing</w:t>
      </w:r>
    </w:p>
    <w:p w14:paraId="154805AB" w14:textId="77777777" w:rsidR="009472CA" w:rsidRPr="001533EE" w:rsidRDefault="009472CA" w:rsidP="006A2F03">
      <w:pPr>
        <w:numPr>
          <w:ilvl w:val="0"/>
          <w:numId w:val="24"/>
        </w:numPr>
        <w:tabs>
          <w:tab w:val="num" w:pos="1134"/>
        </w:tabs>
        <w:autoSpaceDE w:val="0"/>
        <w:autoSpaceDN w:val="0"/>
        <w:adjustRightInd w:val="0"/>
        <w:spacing w:before="90" w:after="90"/>
        <w:ind w:left="1134" w:hanging="567"/>
        <w:jc w:val="both"/>
        <w:rPr>
          <w:rFonts w:cs="Arial"/>
          <w:sz w:val="24"/>
          <w:szCs w:val="24"/>
        </w:rPr>
      </w:pPr>
      <w:r w:rsidRPr="001533EE">
        <w:rPr>
          <w:rFonts w:cs="Arial"/>
          <w:sz w:val="24"/>
          <w:szCs w:val="24"/>
        </w:rPr>
        <w:t>ensuring the proportionality of all investments so that the authority does not undertake a level of investing which exposes the authority to an excessive level of risk compared to its financial resources</w:t>
      </w:r>
    </w:p>
    <w:p w14:paraId="070E3935" w14:textId="77777777" w:rsidR="009472CA" w:rsidRPr="001533EE" w:rsidRDefault="009472CA" w:rsidP="006A2F03">
      <w:pPr>
        <w:numPr>
          <w:ilvl w:val="0"/>
          <w:numId w:val="24"/>
        </w:numPr>
        <w:tabs>
          <w:tab w:val="num" w:pos="1134"/>
        </w:tabs>
        <w:autoSpaceDE w:val="0"/>
        <w:autoSpaceDN w:val="0"/>
        <w:adjustRightInd w:val="0"/>
        <w:spacing w:before="90" w:after="90"/>
        <w:ind w:left="1134" w:hanging="567"/>
        <w:jc w:val="both"/>
        <w:rPr>
          <w:rFonts w:cs="Arial"/>
          <w:color w:val="0D0D0D"/>
          <w:sz w:val="24"/>
          <w:szCs w:val="24"/>
        </w:rPr>
      </w:pPr>
      <w:r w:rsidRPr="001533EE">
        <w:rPr>
          <w:rFonts w:cs="Arial"/>
          <w:color w:val="0D0D0D"/>
          <w:sz w:val="24"/>
          <w:szCs w:val="24"/>
        </w:rPr>
        <w:t>ensuring that an adequate governance process is in place for the approval, monitoring and ongoing risk management of all non-financial investments and long-term liabilities</w:t>
      </w:r>
    </w:p>
    <w:p w14:paraId="47B54FB0" w14:textId="1EED25C7" w:rsidR="009472CA" w:rsidRPr="00115282" w:rsidRDefault="009472CA" w:rsidP="006A2F03">
      <w:pPr>
        <w:numPr>
          <w:ilvl w:val="0"/>
          <w:numId w:val="24"/>
        </w:numPr>
        <w:tabs>
          <w:tab w:val="num" w:pos="1134"/>
        </w:tabs>
        <w:autoSpaceDE w:val="0"/>
        <w:autoSpaceDN w:val="0"/>
        <w:adjustRightInd w:val="0"/>
        <w:spacing w:before="90" w:after="90"/>
        <w:ind w:left="1134" w:hanging="567"/>
        <w:jc w:val="both"/>
        <w:rPr>
          <w:rFonts w:cs="Arial"/>
          <w:i/>
          <w:color w:val="0D0D0D"/>
          <w:sz w:val="24"/>
          <w:szCs w:val="24"/>
        </w:rPr>
      </w:pPr>
      <w:r w:rsidRPr="001533EE">
        <w:rPr>
          <w:rFonts w:cs="Arial"/>
          <w:color w:val="0D0D0D"/>
          <w:sz w:val="24"/>
          <w:szCs w:val="24"/>
        </w:rPr>
        <w:t xml:space="preserve">provision to </w:t>
      </w:r>
      <w:r w:rsidR="005B1ECF" w:rsidRPr="00115282">
        <w:rPr>
          <w:rFonts w:cs="Arial"/>
          <w:color w:val="0D0D0D"/>
          <w:sz w:val="24"/>
          <w:szCs w:val="24"/>
        </w:rPr>
        <w:t xml:space="preserve">the </w:t>
      </w:r>
      <w:proofErr w:type="gramStart"/>
      <w:r w:rsidR="007C580A" w:rsidRPr="00115282">
        <w:rPr>
          <w:rFonts w:cs="Arial"/>
          <w:color w:val="0D0D0D"/>
          <w:sz w:val="24"/>
          <w:szCs w:val="24"/>
        </w:rPr>
        <w:t>Mayor</w:t>
      </w:r>
      <w:proofErr w:type="gramEnd"/>
      <w:r w:rsidR="005B1ECF" w:rsidRPr="00115282">
        <w:rPr>
          <w:rFonts w:cs="Arial"/>
          <w:color w:val="0D0D0D"/>
          <w:sz w:val="24"/>
          <w:szCs w:val="24"/>
        </w:rPr>
        <w:t xml:space="preserve"> </w:t>
      </w:r>
      <w:r w:rsidRPr="00115282">
        <w:rPr>
          <w:rFonts w:cs="Arial"/>
          <w:color w:val="0D0D0D"/>
          <w:sz w:val="24"/>
          <w:szCs w:val="24"/>
        </w:rPr>
        <w:t xml:space="preserve">of a schedule of all non-treasury investments including material investments in subsidiaries, joint ventures, </w:t>
      </w:r>
      <w:r w:rsidR="00E537D7" w:rsidRPr="00115282">
        <w:rPr>
          <w:rFonts w:cs="Arial"/>
          <w:color w:val="0D0D0D"/>
          <w:sz w:val="24"/>
          <w:szCs w:val="24"/>
        </w:rPr>
        <w:t>loans,</w:t>
      </w:r>
      <w:r w:rsidRPr="00115282">
        <w:rPr>
          <w:rFonts w:cs="Arial"/>
          <w:color w:val="0D0D0D"/>
          <w:sz w:val="24"/>
          <w:szCs w:val="24"/>
        </w:rPr>
        <w:t xml:space="preserve"> and financial guarantees </w:t>
      </w:r>
    </w:p>
    <w:p w14:paraId="11BEFDF0" w14:textId="429B4131" w:rsidR="009472CA" w:rsidRPr="001533EE" w:rsidRDefault="009472CA" w:rsidP="006A2F03">
      <w:pPr>
        <w:numPr>
          <w:ilvl w:val="0"/>
          <w:numId w:val="24"/>
        </w:numPr>
        <w:tabs>
          <w:tab w:val="num" w:pos="1134"/>
        </w:tabs>
        <w:autoSpaceDE w:val="0"/>
        <w:autoSpaceDN w:val="0"/>
        <w:adjustRightInd w:val="0"/>
        <w:spacing w:before="90" w:after="90"/>
        <w:ind w:left="1134" w:hanging="567"/>
        <w:jc w:val="both"/>
        <w:rPr>
          <w:rFonts w:cs="Arial"/>
          <w:spacing w:val="-5"/>
          <w:sz w:val="24"/>
          <w:szCs w:val="24"/>
        </w:rPr>
      </w:pPr>
      <w:r w:rsidRPr="00115282">
        <w:rPr>
          <w:rFonts w:cs="Arial"/>
          <w:color w:val="0D0D0D"/>
          <w:sz w:val="24"/>
          <w:szCs w:val="24"/>
        </w:rPr>
        <w:t xml:space="preserve">ensuring that </w:t>
      </w:r>
      <w:r w:rsidR="000B3EB6" w:rsidRPr="00115282">
        <w:rPr>
          <w:rFonts w:cs="Arial"/>
          <w:color w:val="0D0D0D"/>
          <w:sz w:val="24"/>
          <w:szCs w:val="24"/>
        </w:rPr>
        <w:t xml:space="preserve">the </w:t>
      </w:r>
      <w:proofErr w:type="gramStart"/>
      <w:r w:rsidR="007C580A" w:rsidRPr="00115282">
        <w:rPr>
          <w:rFonts w:cs="Arial"/>
          <w:color w:val="0D0D0D"/>
          <w:sz w:val="24"/>
          <w:szCs w:val="24"/>
        </w:rPr>
        <w:t>Mayor</w:t>
      </w:r>
      <w:proofErr w:type="gramEnd"/>
      <w:r w:rsidR="00E84141" w:rsidRPr="00115282">
        <w:rPr>
          <w:rFonts w:cs="Arial"/>
          <w:color w:val="0D0D0D"/>
          <w:sz w:val="24"/>
          <w:szCs w:val="24"/>
        </w:rPr>
        <w:t xml:space="preserve"> is</w:t>
      </w:r>
      <w:r w:rsidR="000B3EB6" w:rsidRPr="00115282">
        <w:rPr>
          <w:rFonts w:cs="Arial"/>
          <w:color w:val="0D0D0D"/>
          <w:sz w:val="24"/>
          <w:szCs w:val="24"/>
        </w:rPr>
        <w:t xml:space="preserve"> </w:t>
      </w:r>
      <w:r w:rsidR="00E537D7" w:rsidRPr="00115282">
        <w:rPr>
          <w:rFonts w:cs="Arial"/>
          <w:color w:val="0D0D0D"/>
          <w:sz w:val="24"/>
          <w:szCs w:val="24"/>
        </w:rPr>
        <w:t>adequately</w:t>
      </w:r>
      <w:r w:rsidRPr="001533EE">
        <w:rPr>
          <w:rFonts w:cs="Arial"/>
          <w:color w:val="0D0D0D"/>
          <w:sz w:val="24"/>
          <w:szCs w:val="24"/>
        </w:rPr>
        <w:t xml:space="preserve"> informed and understand</w:t>
      </w:r>
      <w:r w:rsidR="00E84141" w:rsidRPr="001533EE">
        <w:rPr>
          <w:rFonts w:cs="Arial"/>
          <w:color w:val="0D0D0D"/>
          <w:sz w:val="24"/>
          <w:szCs w:val="24"/>
        </w:rPr>
        <w:t>s</w:t>
      </w:r>
      <w:r w:rsidRPr="001533EE">
        <w:rPr>
          <w:rFonts w:cs="Arial"/>
          <w:color w:val="0D0D0D"/>
          <w:sz w:val="24"/>
          <w:szCs w:val="24"/>
        </w:rPr>
        <w:t xml:space="preserve"> the risk exposures taken on </w:t>
      </w:r>
      <w:r w:rsidRPr="001533EE">
        <w:rPr>
          <w:rFonts w:cs="Arial"/>
          <w:sz w:val="24"/>
          <w:szCs w:val="24"/>
        </w:rPr>
        <w:t>by an authority</w:t>
      </w:r>
    </w:p>
    <w:p w14:paraId="6720A259" w14:textId="77777777" w:rsidR="009472CA" w:rsidRPr="001533EE" w:rsidRDefault="009472CA" w:rsidP="006A2F03">
      <w:pPr>
        <w:numPr>
          <w:ilvl w:val="0"/>
          <w:numId w:val="24"/>
        </w:numPr>
        <w:tabs>
          <w:tab w:val="num" w:pos="1134"/>
        </w:tabs>
        <w:autoSpaceDE w:val="0"/>
        <w:autoSpaceDN w:val="0"/>
        <w:adjustRightInd w:val="0"/>
        <w:spacing w:before="90" w:after="90"/>
        <w:ind w:left="1134" w:hanging="567"/>
        <w:jc w:val="both"/>
        <w:rPr>
          <w:rFonts w:cs="Arial"/>
          <w:sz w:val="24"/>
          <w:szCs w:val="24"/>
        </w:rPr>
      </w:pPr>
      <w:r w:rsidRPr="001533EE">
        <w:rPr>
          <w:rFonts w:cs="Arial"/>
          <w:sz w:val="24"/>
          <w:szCs w:val="24"/>
        </w:rPr>
        <w:t>ensuring that the authority has adequate expertise, either in house or externally provided, to carry out the above</w:t>
      </w:r>
    </w:p>
    <w:p w14:paraId="38CCBB0D" w14:textId="63209E30" w:rsidR="009472CA" w:rsidRPr="00132D7D" w:rsidRDefault="009472CA" w:rsidP="006A2F03">
      <w:pPr>
        <w:numPr>
          <w:ilvl w:val="0"/>
          <w:numId w:val="24"/>
        </w:numPr>
        <w:tabs>
          <w:tab w:val="num" w:pos="1134"/>
        </w:tabs>
        <w:autoSpaceDE w:val="0"/>
        <w:autoSpaceDN w:val="0"/>
        <w:adjustRightInd w:val="0"/>
        <w:spacing w:before="90" w:after="90"/>
        <w:ind w:left="1134" w:hanging="567"/>
        <w:jc w:val="both"/>
        <w:rPr>
          <w:rFonts w:cs="Arial"/>
          <w:sz w:val="24"/>
          <w:szCs w:val="24"/>
        </w:rPr>
      </w:pPr>
      <w:r w:rsidRPr="001533EE">
        <w:rPr>
          <w:rFonts w:cs="Arial"/>
          <w:sz w:val="24"/>
          <w:szCs w:val="24"/>
        </w:rPr>
        <w:lastRenderedPageBreak/>
        <w:t>creation of Treasury Management Practices which specifically deal with how non treasury investments will be carried out and managed</w:t>
      </w:r>
      <w:r w:rsidRPr="001533EE">
        <w:rPr>
          <w:rFonts w:cs="Arial"/>
          <w:bCs/>
          <w:i/>
          <w:iCs/>
          <w:sz w:val="24"/>
          <w:szCs w:val="24"/>
        </w:rPr>
        <w:t> </w:t>
      </w:r>
    </w:p>
    <w:p w14:paraId="7C0E8159" w14:textId="77777777" w:rsidR="00132D7D" w:rsidRDefault="00132D7D" w:rsidP="00132D7D">
      <w:pPr>
        <w:autoSpaceDE w:val="0"/>
        <w:autoSpaceDN w:val="0"/>
        <w:adjustRightInd w:val="0"/>
        <w:spacing w:before="90" w:after="90"/>
        <w:ind w:left="1134"/>
        <w:jc w:val="both"/>
        <w:rPr>
          <w:rFonts w:cs="Arial"/>
          <w:sz w:val="24"/>
          <w:szCs w:val="24"/>
        </w:rPr>
      </w:pPr>
    </w:p>
    <w:p w14:paraId="698E6DF7" w14:textId="77777777" w:rsidR="003A1E63" w:rsidRDefault="003A1E63" w:rsidP="00132D7D">
      <w:pPr>
        <w:autoSpaceDE w:val="0"/>
        <w:autoSpaceDN w:val="0"/>
        <w:adjustRightInd w:val="0"/>
        <w:spacing w:before="90" w:after="90"/>
        <w:ind w:left="1134"/>
        <w:jc w:val="both"/>
        <w:rPr>
          <w:rFonts w:cs="Arial"/>
          <w:sz w:val="24"/>
          <w:szCs w:val="24"/>
        </w:rPr>
      </w:pPr>
    </w:p>
    <w:p w14:paraId="404E8EB3" w14:textId="77777777" w:rsidR="003A1E63" w:rsidRPr="001533EE" w:rsidRDefault="003A1E63" w:rsidP="00132D7D">
      <w:pPr>
        <w:autoSpaceDE w:val="0"/>
        <w:autoSpaceDN w:val="0"/>
        <w:adjustRightInd w:val="0"/>
        <w:spacing w:before="90" w:after="90"/>
        <w:ind w:left="1134"/>
        <w:jc w:val="both"/>
        <w:rPr>
          <w:rFonts w:cs="Arial"/>
          <w:sz w:val="24"/>
          <w:szCs w:val="24"/>
        </w:rPr>
      </w:pPr>
    </w:p>
    <w:p w14:paraId="1874D94A" w14:textId="5CADCD22" w:rsidR="000B3EB6" w:rsidRPr="001533EE" w:rsidRDefault="000B3EB6" w:rsidP="007F22DA">
      <w:pPr>
        <w:tabs>
          <w:tab w:val="left" w:pos="993"/>
        </w:tabs>
        <w:jc w:val="right"/>
        <w:rPr>
          <w:rFonts w:cs="Arial"/>
          <w:b/>
          <w:sz w:val="24"/>
          <w:szCs w:val="24"/>
        </w:rPr>
      </w:pPr>
      <w:r w:rsidRPr="001533EE">
        <w:rPr>
          <w:rFonts w:cs="Arial"/>
          <w:b/>
          <w:sz w:val="24"/>
          <w:szCs w:val="24"/>
        </w:rPr>
        <w:t>ANNEX 2</w:t>
      </w:r>
    </w:p>
    <w:p w14:paraId="55C0A713" w14:textId="77777777" w:rsidR="000B3EB6" w:rsidRPr="001533EE" w:rsidRDefault="000B3EB6" w:rsidP="000B3EB6">
      <w:pPr>
        <w:tabs>
          <w:tab w:val="left" w:pos="993"/>
        </w:tabs>
        <w:jc w:val="right"/>
        <w:rPr>
          <w:rFonts w:cs="Arial"/>
          <w:b/>
          <w:sz w:val="24"/>
          <w:szCs w:val="24"/>
        </w:rPr>
      </w:pPr>
    </w:p>
    <w:p w14:paraId="5AD670C6" w14:textId="77EBB10F" w:rsidR="000B3EB6" w:rsidRPr="00602652" w:rsidRDefault="00E84141" w:rsidP="00602652">
      <w:pPr>
        <w:tabs>
          <w:tab w:val="left" w:pos="709"/>
        </w:tabs>
        <w:ind w:left="567" w:hanging="567"/>
        <w:rPr>
          <w:rFonts w:cs="Arial"/>
          <w:color w:val="FF0000"/>
          <w:sz w:val="24"/>
          <w:szCs w:val="24"/>
        </w:rPr>
      </w:pPr>
      <w:r w:rsidRPr="001533EE">
        <w:rPr>
          <w:rFonts w:cs="Arial"/>
          <w:b/>
          <w:bCs/>
          <w:sz w:val="24"/>
          <w:szCs w:val="24"/>
        </w:rPr>
        <w:t>1.0</w:t>
      </w:r>
      <w:r w:rsidRPr="001533EE">
        <w:rPr>
          <w:rFonts w:cs="Arial"/>
          <w:b/>
          <w:bCs/>
          <w:sz w:val="24"/>
          <w:szCs w:val="24"/>
        </w:rPr>
        <w:tab/>
      </w:r>
      <w:r w:rsidR="000B3EB6" w:rsidRPr="001533EE">
        <w:rPr>
          <w:rFonts w:cs="Arial"/>
          <w:b/>
          <w:bCs/>
          <w:sz w:val="24"/>
          <w:szCs w:val="24"/>
        </w:rPr>
        <w:t>CAPITAL STRATEGY 202</w:t>
      </w:r>
      <w:r w:rsidR="00602652">
        <w:rPr>
          <w:rFonts w:cs="Arial"/>
          <w:b/>
          <w:bCs/>
          <w:sz w:val="24"/>
          <w:szCs w:val="24"/>
        </w:rPr>
        <w:t>6</w:t>
      </w:r>
      <w:r w:rsidR="000B3EB6" w:rsidRPr="001533EE">
        <w:rPr>
          <w:rFonts w:cs="Arial"/>
          <w:b/>
          <w:bCs/>
          <w:sz w:val="24"/>
          <w:szCs w:val="24"/>
        </w:rPr>
        <w:t>/2</w:t>
      </w:r>
      <w:r w:rsidR="00602652">
        <w:rPr>
          <w:rFonts w:cs="Arial"/>
          <w:b/>
          <w:bCs/>
          <w:sz w:val="24"/>
          <w:szCs w:val="24"/>
        </w:rPr>
        <w:t xml:space="preserve">7 </w:t>
      </w:r>
    </w:p>
    <w:bookmarkEnd w:id="31"/>
    <w:p w14:paraId="4D423520" w14:textId="77777777" w:rsidR="008274FE" w:rsidRPr="001533EE" w:rsidRDefault="008274FE" w:rsidP="008274FE">
      <w:pPr>
        <w:rPr>
          <w:rFonts w:cs="Arial"/>
          <w:b/>
          <w:sz w:val="24"/>
          <w:szCs w:val="24"/>
        </w:rPr>
      </w:pPr>
    </w:p>
    <w:p w14:paraId="1473B687" w14:textId="7EC93CD6" w:rsidR="00E520CB" w:rsidRPr="001533EE" w:rsidRDefault="008274FE" w:rsidP="00E520CB">
      <w:pPr>
        <w:ind w:left="709" w:hanging="709"/>
        <w:jc w:val="both"/>
        <w:rPr>
          <w:rFonts w:cs="Arial"/>
          <w:sz w:val="24"/>
          <w:szCs w:val="24"/>
        </w:rPr>
      </w:pPr>
      <w:r w:rsidRPr="001533EE">
        <w:rPr>
          <w:rFonts w:cs="Arial"/>
          <w:sz w:val="24"/>
          <w:szCs w:val="24"/>
        </w:rPr>
        <w:t>1.1</w:t>
      </w:r>
      <w:r w:rsidRPr="001533EE">
        <w:rPr>
          <w:rFonts w:cs="Arial"/>
          <w:sz w:val="24"/>
          <w:szCs w:val="24"/>
        </w:rPr>
        <w:tab/>
      </w:r>
      <w:r w:rsidR="00E84141" w:rsidRPr="001533EE">
        <w:rPr>
          <w:rFonts w:cs="Arial"/>
          <w:sz w:val="24"/>
          <w:szCs w:val="24"/>
        </w:rPr>
        <w:t xml:space="preserve">The CIPFA Code of Practice on Treasury Management requires </w:t>
      </w:r>
      <w:r w:rsidR="00E520CB" w:rsidRPr="001533EE">
        <w:rPr>
          <w:rFonts w:cs="Arial"/>
          <w:sz w:val="24"/>
          <w:szCs w:val="24"/>
        </w:rPr>
        <w:t xml:space="preserve">local authorities to produce a Capital Strategy to demonstrate that capital expenditure and investment decisions contribute to the delivery of Authority’s plans and provisions of services whilst taking account of stewardship, value for money, prudence, sustainability, </w:t>
      </w:r>
      <w:r w:rsidR="00E537D7" w:rsidRPr="001533EE">
        <w:rPr>
          <w:rFonts w:cs="Arial"/>
          <w:sz w:val="24"/>
          <w:szCs w:val="24"/>
        </w:rPr>
        <w:t>proportionality,</w:t>
      </w:r>
      <w:r w:rsidR="00E520CB" w:rsidRPr="001533EE">
        <w:rPr>
          <w:rFonts w:cs="Arial"/>
          <w:sz w:val="24"/>
          <w:szCs w:val="24"/>
        </w:rPr>
        <w:t xml:space="preserve"> and affordability. This requirement was first introduced in 2018/19.</w:t>
      </w:r>
    </w:p>
    <w:p w14:paraId="362E0E78" w14:textId="77777777" w:rsidR="00E520CB" w:rsidRPr="001533EE" w:rsidRDefault="00E520CB" w:rsidP="00E520CB">
      <w:pPr>
        <w:ind w:left="567" w:hanging="567"/>
        <w:rPr>
          <w:rFonts w:cs="Arial"/>
          <w:b/>
          <w:sz w:val="24"/>
          <w:szCs w:val="24"/>
        </w:rPr>
      </w:pPr>
    </w:p>
    <w:p w14:paraId="1FEDD8A1" w14:textId="24102D31" w:rsidR="00E520CB" w:rsidRPr="00B65A83" w:rsidRDefault="00E520CB" w:rsidP="005B1ECF">
      <w:pPr>
        <w:numPr>
          <w:ilvl w:val="1"/>
          <w:numId w:val="2"/>
        </w:numPr>
        <w:tabs>
          <w:tab w:val="left" w:pos="567"/>
        </w:tabs>
        <w:ind w:left="709" w:hanging="709"/>
        <w:jc w:val="both"/>
        <w:rPr>
          <w:rFonts w:cs="Arial"/>
          <w:sz w:val="24"/>
          <w:szCs w:val="24"/>
        </w:rPr>
      </w:pPr>
      <w:r w:rsidRPr="001533EE">
        <w:rPr>
          <w:rFonts w:cs="Arial"/>
          <w:sz w:val="24"/>
          <w:szCs w:val="24"/>
        </w:rPr>
        <w:t xml:space="preserve">  The purpose of the Capital Strategy is to set out how the Authority proposes to deploy its capital resources effectively to achieve its corporate and service objectives. The Capital Strategy </w:t>
      </w:r>
      <w:r w:rsidR="00E537D7" w:rsidRPr="001533EE">
        <w:rPr>
          <w:rFonts w:cs="Arial"/>
          <w:sz w:val="24"/>
          <w:szCs w:val="24"/>
        </w:rPr>
        <w:t>considers</w:t>
      </w:r>
      <w:r w:rsidRPr="001533EE">
        <w:rPr>
          <w:rFonts w:cs="Arial"/>
          <w:sz w:val="24"/>
          <w:szCs w:val="24"/>
        </w:rPr>
        <w:t xml:space="preserve"> other </w:t>
      </w:r>
      <w:r w:rsidRPr="00B65A83">
        <w:rPr>
          <w:rFonts w:cs="Arial"/>
          <w:sz w:val="24"/>
          <w:szCs w:val="24"/>
        </w:rPr>
        <w:t>relevant strategies and</w:t>
      </w:r>
      <w:r w:rsidR="00B65A83" w:rsidRPr="00B65A83">
        <w:rPr>
          <w:rFonts w:cs="Arial"/>
          <w:sz w:val="24"/>
          <w:szCs w:val="24"/>
        </w:rPr>
        <w:t xml:space="preserve"> </w:t>
      </w:r>
      <w:r w:rsidRPr="00B65A83">
        <w:rPr>
          <w:rFonts w:cs="Arial"/>
          <w:sz w:val="24"/>
          <w:szCs w:val="24"/>
        </w:rPr>
        <w:t>policies</w:t>
      </w:r>
      <w:r w:rsidRPr="001533EE">
        <w:rPr>
          <w:rFonts w:cs="Arial"/>
          <w:sz w:val="24"/>
          <w:szCs w:val="24"/>
        </w:rPr>
        <w:t xml:space="preserve"> as well as the views of partners and interested parties with whom the Authority is involved. The resources which are forecast to be available to fund capital investment and the effect of that investment on the Authority’s ’s revenue budget are also considered. The Capital Strategy will serve as a useful point of reference when determining or reviewing the </w:t>
      </w:r>
      <w:r w:rsidRPr="00B65A83">
        <w:rPr>
          <w:rFonts w:cs="Arial"/>
          <w:sz w:val="24"/>
          <w:szCs w:val="24"/>
        </w:rPr>
        <w:t>Authority’s Capital Five Year Spending Plan (known as the Capital Plan).</w:t>
      </w:r>
    </w:p>
    <w:p w14:paraId="0481C635" w14:textId="372A1680" w:rsidR="00E520CB" w:rsidRPr="001533EE" w:rsidRDefault="00E520CB" w:rsidP="00E520CB">
      <w:pPr>
        <w:jc w:val="both"/>
        <w:rPr>
          <w:rFonts w:cs="Arial"/>
          <w:sz w:val="24"/>
          <w:szCs w:val="24"/>
        </w:rPr>
      </w:pPr>
    </w:p>
    <w:p w14:paraId="4D26127B" w14:textId="357A3E3D" w:rsidR="00E520CB" w:rsidRPr="001533EE" w:rsidRDefault="00E520CB" w:rsidP="00E520CB">
      <w:pPr>
        <w:pStyle w:val="ListParagraph"/>
        <w:ind w:left="709" w:hanging="709"/>
        <w:contextualSpacing w:val="0"/>
        <w:jc w:val="both"/>
        <w:rPr>
          <w:rFonts w:cs="Arial"/>
          <w:sz w:val="24"/>
          <w:szCs w:val="24"/>
          <w:lang w:val="en-US"/>
        </w:rPr>
      </w:pPr>
      <w:r w:rsidRPr="001533EE">
        <w:rPr>
          <w:rFonts w:cs="Arial"/>
          <w:sz w:val="24"/>
          <w:szCs w:val="24"/>
        </w:rPr>
        <w:t>1.3</w:t>
      </w:r>
      <w:r w:rsidRPr="001533EE">
        <w:rPr>
          <w:rFonts w:cs="Arial"/>
          <w:sz w:val="24"/>
          <w:szCs w:val="24"/>
        </w:rPr>
        <w:tab/>
      </w:r>
      <w:r w:rsidRPr="001533EE">
        <w:rPr>
          <w:rFonts w:cs="Arial"/>
          <w:sz w:val="24"/>
          <w:szCs w:val="24"/>
          <w:lang w:val="en-US"/>
        </w:rPr>
        <w:t>The Capital Strategy is key to support long term investment decision enabling the delivery of the Authority’s objectives and plans.  It is a key strategy document and forms part of the</w:t>
      </w:r>
      <w:r w:rsidR="002171D5" w:rsidRPr="001533EE">
        <w:rPr>
          <w:rFonts w:cs="Arial"/>
          <w:sz w:val="24"/>
          <w:szCs w:val="24"/>
          <w:lang w:val="en-US"/>
        </w:rPr>
        <w:t xml:space="preserve"> Authority</w:t>
      </w:r>
      <w:r w:rsidRPr="001533EE">
        <w:rPr>
          <w:rFonts w:cs="Arial"/>
          <w:sz w:val="24"/>
          <w:szCs w:val="24"/>
          <w:lang w:val="en-US"/>
        </w:rPr>
        <w:t>’s revenue, capital, balance sheet and reserves planning. It provides:</w:t>
      </w:r>
    </w:p>
    <w:p w14:paraId="489FDD03" w14:textId="77777777" w:rsidR="00E520CB" w:rsidRPr="001533EE" w:rsidRDefault="00E520CB" w:rsidP="00E520CB">
      <w:pPr>
        <w:ind w:left="567" w:hanging="567"/>
        <w:rPr>
          <w:rFonts w:cs="Arial"/>
          <w:sz w:val="24"/>
          <w:szCs w:val="24"/>
        </w:rPr>
      </w:pPr>
    </w:p>
    <w:p w14:paraId="37EE9E3F" w14:textId="60FB25BB" w:rsidR="00E520CB" w:rsidRPr="001533EE" w:rsidRDefault="00E520CB" w:rsidP="006A2F03">
      <w:pPr>
        <w:pStyle w:val="ListParagraph"/>
        <w:numPr>
          <w:ilvl w:val="0"/>
          <w:numId w:val="28"/>
        </w:numPr>
        <w:ind w:left="1134" w:hanging="283"/>
        <w:contextualSpacing w:val="0"/>
        <w:jc w:val="both"/>
        <w:rPr>
          <w:rFonts w:cs="Arial"/>
          <w:sz w:val="24"/>
          <w:szCs w:val="24"/>
        </w:rPr>
      </w:pPr>
      <w:r w:rsidRPr="001533EE">
        <w:rPr>
          <w:rFonts w:cs="Arial"/>
          <w:sz w:val="24"/>
          <w:szCs w:val="24"/>
        </w:rPr>
        <w:t>A long-term view of capital expenditure plans and any financial risks to which the</w:t>
      </w:r>
      <w:r w:rsidR="008329FA" w:rsidRPr="001533EE">
        <w:rPr>
          <w:rFonts w:cs="Arial"/>
          <w:sz w:val="24"/>
          <w:szCs w:val="24"/>
        </w:rPr>
        <w:t xml:space="preserve"> </w:t>
      </w:r>
      <w:r w:rsidR="002171D5" w:rsidRPr="001533EE">
        <w:rPr>
          <w:rFonts w:cs="Arial"/>
          <w:sz w:val="24"/>
          <w:szCs w:val="24"/>
        </w:rPr>
        <w:t xml:space="preserve">Authority </w:t>
      </w:r>
      <w:r w:rsidRPr="001533EE">
        <w:rPr>
          <w:rFonts w:cs="Arial"/>
          <w:sz w:val="24"/>
          <w:szCs w:val="24"/>
        </w:rPr>
        <w:t xml:space="preserve">is </w:t>
      </w:r>
      <w:r w:rsidR="00E537D7" w:rsidRPr="001533EE">
        <w:rPr>
          <w:rFonts w:cs="Arial"/>
          <w:sz w:val="24"/>
          <w:szCs w:val="24"/>
        </w:rPr>
        <w:t>exposed.</w:t>
      </w:r>
    </w:p>
    <w:p w14:paraId="5839AEC7" w14:textId="3F3A2E4B" w:rsidR="00E520CB" w:rsidRPr="001533EE" w:rsidRDefault="00E520CB" w:rsidP="006A2F03">
      <w:pPr>
        <w:pStyle w:val="ListParagraph"/>
        <w:numPr>
          <w:ilvl w:val="0"/>
          <w:numId w:val="28"/>
        </w:numPr>
        <w:ind w:left="1134" w:hanging="283"/>
        <w:contextualSpacing w:val="0"/>
        <w:jc w:val="both"/>
        <w:rPr>
          <w:rFonts w:cs="Arial"/>
          <w:sz w:val="24"/>
          <w:szCs w:val="24"/>
        </w:rPr>
      </w:pPr>
      <w:r w:rsidRPr="001533EE">
        <w:rPr>
          <w:rFonts w:cs="Arial"/>
          <w:sz w:val="24"/>
          <w:szCs w:val="24"/>
        </w:rPr>
        <w:t xml:space="preserve">Ensuring due regard to the long-term financing, affordability implications, potential </w:t>
      </w:r>
      <w:r w:rsidR="00E537D7" w:rsidRPr="001533EE">
        <w:rPr>
          <w:rFonts w:cs="Arial"/>
          <w:sz w:val="24"/>
          <w:szCs w:val="24"/>
        </w:rPr>
        <w:t>risks,</w:t>
      </w:r>
      <w:r w:rsidRPr="001533EE">
        <w:rPr>
          <w:rFonts w:cs="Arial"/>
          <w:sz w:val="24"/>
          <w:szCs w:val="24"/>
        </w:rPr>
        <w:t xml:space="preserve"> and the implications for future financial sustainability.</w:t>
      </w:r>
    </w:p>
    <w:p w14:paraId="440A4DC4" w14:textId="4076E01B" w:rsidR="00E520CB" w:rsidRPr="001533EE" w:rsidRDefault="00E520CB" w:rsidP="00E520CB">
      <w:pPr>
        <w:pStyle w:val="ListParagraph"/>
        <w:contextualSpacing w:val="0"/>
        <w:jc w:val="both"/>
        <w:rPr>
          <w:rFonts w:cs="Arial"/>
          <w:sz w:val="24"/>
          <w:szCs w:val="24"/>
          <w:highlight w:val="yellow"/>
        </w:rPr>
      </w:pPr>
    </w:p>
    <w:p w14:paraId="7CC38282" w14:textId="6993AFBB" w:rsidR="008329FA" w:rsidRPr="001533EE" w:rsidRDefault="008329FA" w:rsidP="006A2F03">
      <w:pPr>
        <w:pStyle w:val="ListParagraph"/>
        <w:numPr>
          <w:ilvl w:val="2"/>
          <w:numId w:val="27"/>
        </w:numPr>
        <w:ind w:right="176"/>
        <w:contextualSpacing w:val="0"/>
        <w:jc w:val="both"/>
        <w:rPr>
          <w:rFonts w:cs="Arial"/>
          <w:sz w:val="24"/>
          <w:szCs w:val="24"/>
          <w:lang w:val="en-US"/>
        </w:rPr>
      </w:pPr>
      <w:r w:rsidRPr="001533EE">
        <w:rPr>
          <w:rFonts w:cs="Arial"/>
          <w:sz w:val="24"/>
          <w:szCs w:val="24"/>
          <w:lang w:val="en-US"/>
        </w:rPr>
        <w:t>Capital Schemes must comply with other strategies as well as contract procedure rules, financial regulations and legislation, such as the Disability Discrimination Act. Important linking documents include:</w:t>
      </w:r>
    </w:p>
    <w:p w14:paraId="7372A517" w14:textId="77777777" w:rsidR="008329FA" w:rsidRPr="001533EE" w:rsidRDefault="008329FA" w:rsidP="008329FA">
      <w:pPr>
        <w:ind w:right="176"/>
        <w:rPr>
          <w:rFonts w:cs="Arial"/>
          <w:sz w:val="24"/>
          <w:szCs w:val="24"/>
          <w:lang w:val="en-US"/>
        </w:rPr>
      </w:pPr>
    </w:p>
    <w:p w14:paraId="10346AE7" w14:textId="028F8A01" w:rsidR="008329FA" w:rsidRPr="001533EE" w:rsidRDefault="008329FA" w:rsidP="006A2F03">
      <w:pPr>
        <w:pStyle w:val="ListParagraph"/>
        <w:numPr>
          <w:ilvl w:val="0"/>
          <w:numId w:val="26"/>
        </w:numPr>
        <w:ind w:left="1134" w:right="176" w:hanging="283"/>
        <w:contextualSpacing w:val="0"/>
        <w:rPr>
          <w:rFonts w:cs="Arial"/>
          <w:sz w:val="24"/>
          <w:szCs w:val="24"/>
          <w:lang w:val="en-US"/>
        </w:rPr>
      </w:pPr>
      <w:r w:rsidRPr="001533EE">
        <w:rPr>
          <w:rFonts w:cs="Arial"/>
          <w:sz w:val="24"/>
          <w:szCs w:val="24"/>
          <w:lang w:val="en-US"/>
        </w:rPr>
        <w:t>Authority’s Constitution including Contract and Financial Procedure Rules</w:t>
      </w:r>
    </w:p>
    <w:p w14:paraId="061FB450" w14:textId="77777777" w:rsidR="008329FA" w:rsidRPr="001533EE" w:rsidRDefault="008329FA" w:rsidP="006A2F03">
      <w:pPr>
        <w:pStyle w:val="ListParagraph"/>
        <w:numPr>
          <w:ilvl w:val="0"/>
          <w:numId w:val="26"/>
        </w:numPr>
        <w:ind w:left="1134" w:right="176" w:hanging="283"/>
        <w:contextualSpacing w:val="0"/>
        <w:rPr>
          <w:rFonts w:cs="Arial"/>
          <w:sz w:val="24"/>
          <w:szCs w:val="24"/>
          <w:lang w:val="en-US"/>
        </w:rPr>
      </w:pPr>
      <w:r w:rsidRPr="001533EE">
        <w:rPr>
          <w:rFonts w:cs="Arial"/>
          <w:sz w:val="24"/>
          <w:szCs w:val="24"/>
          <w:lang w:val="en-US"/>
        </w:rPr>
        <w:t>Medium Term Financial Strategy</w:t>
      </w:r>
    </w:p>
    <w:p w14:paraId="09550329" w14:textId="77777777" w:rsidR="008329FA" w:rsidRPr="001533EE" w:rsidRDefault="008329FA" w:rsidP="006A2F03">
      <w:pPr>
        <w:pStyle w:val="ListParagraph"/>
        <w:numPr>
          <w:ilvl w:val="0"/>
          <w:numId w:val="26"/>
        </w:numPr>
        <w:ind w:left="1134" w:right="176" w:hanging="283"/>
        <w:contextualSpacing w:val="0"/>
        <w:rPr>
          <w:rFonts w:cs="Arial"/>
          <w:sz w:val="24"/>
          <w:szCs w:val="24"/>
          <w:lang w:val="en-US"/>
        </w:rPr>
      </w:pPr>
      <w:r w:rsidRPr="001533EE">
        <w:rPr>
          <w:rFonts w:cs="Arial"/>
          <w:sz w:val="24"/>
          <w:szCs w:val="24"/>
          <w:lang w:val="en-US"/>
        </w:rPr>
        <w:t>Capital Plan</w:t>
      </w:r>
    </w:p>
    <w:p w14:paraId="1D66E1D0" w14:textId="0994F281" w:rsidR="008329FA" w:rsidRPr="001533EE" w:rsidRDefault="008329FA" w:rsidP="006A2F03">
      <w:pPr>
        <w:pStyle w:val="ListParagraph"/>
        <w:numPr>
          <w:ilvl w:val="0"/>
          <w:numId w:val="26"/>
        </w:numPr>
        <w:ind w:left="1134" w:right="176" w:hanging="283"/>
        <w:contextualSpacing w:val="0"/>
        <w:rPr>
          <w:rFonts w:cs="Arial"/>
          <w:sz w:val="24"/>
          <w:szCs w:val="24"/>
          <w:lang w:val="en-US"/>
        </w:rPr>
      </w:pPr>
      <w:r w:rsidRPr="001533EE">
        <w:rPr>
          <w:rFonts w:cs="Arial"/>
          <w:sz w:val="24"/>
          <w:szCs w:val="24"/>
          <w:lang w:val="en-US"/>
        </w:rPr>
        <w:t>Treasury Management Strategy Statement</w:t>
      </w:r>
    </w:p>
    <w:p w14:paraId="3227FA0F" w14:textId="3AFFEC86" w:rsidR="00BF3D3B" w:rsidRPr="001533EE" w:rsidRDefault="00BF3D3B" w:rsidP="006A2F03">
      <w:pPr>
        <w:pStyle w:val="ListParagraph"/>
        <w:numPr>
          <w:ilvl w:val="0"/>
          <w:numId w:val="26"/>
        </w:numPr>
        <w:ind w:left="1134" w:right="176" w:hanging="283"/>
        <w:contextualSpacing w:val="0"/>
        <w:rPr>
          <w:rFonts w:cs="Arial"/>
          <w:sz w:val="24"/>
          <w:szCs w:val="24"/>
          <w:lang w:val="en-US"/>
        </w:rPr>
      </w:pPr>
      <w:r w:rsidRPr="001533EE">
        <w:rPr>
          <w:rFonts w:cs="Arial"/>
          <w:sz w:val="24"/>
          <w:szCs w:val="24"/>
        </w:rPr>
        <w:t>Asset management planning arrangements</w:t>
      </w:r>
    </w:p>
    <w:p w14:paraId="0EF19898" w14:textId="77777777" w:rsidR="008329FA" w:rsidRPr="001533EE" w:rsidRDefault="008329FA" w:rsidP="006A2F03">
      <w:pPr>
        <w:pStyle w:val="ListParagraph"/>
        <w:numPr>
          <w:ilvl w:val="0"/>
          <w:numId w:val="26"/>
        </w:numPr>
        <w:ind w:left="1134" w:right="176" w:hanging="283"/>
        <w:contextualSpacing w:val="0"/>
        <w:rPr>
          <w:rFonts w:cs="Arial"/>
          <w:sz w:val="24"/>
          <w:szCs w:val="24"/>
          <w:lang w:val="en-US"/>
        </w:rPr>
      </w:pPr>
      <w:r w:rsidRPr="001533EE">
        <w:rPr>
          <w:rFonts w:cs="Arial"/>
          <w:sz w:val="24"/>
          <w:szCs w:val="24"/>
          <w:lang w:val="en-US"/>
        </w:rPr>
        <w:t>Individual Service Plans</w:t>
      </w:r>
    </w:p>
    <w:p w14:paraId="2BB6D5CD" w14:textId="77777777" w:rsidR="008274FE" w:rsidRDefault="008274FE" w:rsidP="00793223">
      <w:pPr>
        <w:jc w:val="both"/>
        <w:rPr>
          <w:rFonts w:cs="Arial"/>
          <w:b/>
          <w:color w:val="FF0000"/>
          <w:sz w:val="24"/>
          <w:szCs w:val="24"/>
        </w:rPr>
      </w:pPr>
    </w:p>
    <w:p w14:paraId="0631E162" w14:textId="77777777" w:rsidR="00336C48" w:rsidRDefault="00336C48" w:rsidP="00793223">
      <w:pPr>
        <w:jc w:val="both"/>
        <w:rPr>
          <w:rFonts w:cs="Arial"/>
          <w:b/>
          <w:color w:val="FF0000"/>
          <w:sz w:val="24"/>
          <w:szCs w:val="24"/>
        </w:rPr>
      </w:pPr>
    </w:p>
    <w:p w14:paraId="15B8FCE5" w14:textId="77777777" w:rsidR="00336C48" w:rsidRDefault="00336C48" w:rsidP="00793223">
      <w:pPr>
        <w:jc w:val="both"/>
        <w:rPr>
          <w:rFonts w:cs="Arial"/>
          <w:b/>
          <w:color w:val="FF0000"/>
          <w:sz w:val="24"/>
          <w:szCs w:val="24"/>
        </w:rPr>
      </w:pPr>
    </w:p>
    <w:p w14:paraId="1C0E0B6C" w14:textId="77777777" w:rsidR="00336C48" w:rsidRDefault="00336C48" w:rsidP="00793223">
      <w:pPr>
        <w:jc w:val="both"/>
        <w:rPr>
          <w:rFonts w:cs="Arial"/>
          <w:b/>
          <w:color w:val="FF0000"/>
          <w:sz w:val="24"/>
          <w:szCs w:val="24"/>
        </w:rPr>
      </w:pPr>
    </w:p>
    <w:p w14:paraId="5AADB9E3" w14:textId="77777777" w:rsidR="00336C48" w:rsidRDefault="00336C48" w:rsidP="00793223">
      <w:pPr>
        <w:jc w:val="both"/>
        <w:rPr>
          <w:rFonts w:cs="Arial"/>
          <w:b/>
          <w:color w:val="FF0000"/>
          <w:sz w:val="24"/>
          <w:szCs w:val="24"/>
        </w:rPr>
      </w:pPr>
    </w:p>
    <w:p w14:paraId="6EC2FE54" w14:textId="77777777" w:rsidR="00336C48" w:rsidRDefault="00336C48" w:rsidP="00793223">
      <w:pPr>
        <w:jc w:val="both"/>
        <w:rPr>
          <w:rFonts w:cs="Arial"/>
          <w:b/>
          <w:color w:val="FF0000"/>
          <w:sz w:val="24"/>
          <w:szCs w:val="24"/>
        </w:rPr>
      </w:pPr>
    </w:p>
    <w:p w14:paraId="2BB0EF1D" w14:textId="77777777" w:rsidR="00336C48" w:rsidRDefault="00336C48" w:rsidP="00793223">
      <w:pPr>
        <w:jc w:val="both"/>
        <w:rPr>
          <w:rFonts w:cs="Arial"/>
          <w:b/>
          <w:color w:val="FF0000"/>
          <w:sz w:val="24"/>
          <w:szCs w:val="24"/>
        </w:rPr>
      </w:pPr>
    </w:p>
    <w:p w14:paraId="3A64C53B" w14:textId="77777777" w:rsidR="00336C48" w:rsidRDefault="00336C48" w:rsidP="00793223">
      <w:pPr>
        <w:jc w:val="both"/>
        <w:rPr>
          <w:rFonts w:cs="Arial"/>
          <w:b/>
          <w:color w:val="FF0000"/>
          <w:sz w:val="24"/>
          <w:szCs w:val="24"/>
        </w:rPr>
      </w:pPr>
    </w:p>
    <w:p w14:paraId="659194CC" w14:textId="77777777" w:rsidR="00336C48" w:rsidRDefault="00336C48" w:rsidP="00793223">
      <w:pPr>
        <w:jc w:val="both"/>
        <w:rPr>
          <w:rFonts w:cs="Arial"/>
          <w:b/>
          <w:color w:val="FF0000"/>
          <w:sz w:val="24"/>
          <w:szCs w:val="24"/>
        </w:rPr>
      </w:pPr>
    </w:p>
    <w:p w14:paraId="491F01C7" w14:textId="77777777" w:rsidR="003A1E63" w:rsidRDefault="003A1E63" w:rsidP="00793223">
      <w:pPr>
        <w:jc w:val="both"/>
        <w:rPr>
          <w:rFonts w:cs="Arial"/>
          <w:b/>
          <w:color w:val="FF0000"/>
          <w:sz w:val="24"/>
          <w:szCs w:val="24"/>
        </w:rPr>
      </w:pPr>
    </w:p>
    <w:p w14:paraId="121F66CE" w14:textId="77777777" w:rsidR="00336C48" w:rsidRDefault="00336C48" w:rsidP="00793223">
      <w:pPr>
        <w:jc w:val="both"/>
        <w:rPr>
          <w:rFonts w:cs="Arial"/>
          <w:b/>
          <w:color w:val="FF0000"/>
          <w:sz w:val="24"/>
          <w:szCs w:val="24"/>
        </w:rPr>
      </w:pPr>
    </w:p>
    <w:p w14:paraId="75D2C01E" w14:textId="77777777" w:rsidR="00336C48" w:rsidRPr="001533EE" w:rsidRDefault="00336C48" w:rsidP="00793223">
      <w:pPr>
        <w:jc w:val="both"/>
        <w:rPr>
          <w:rFonts w:cs="Arial"/>
          <w:b/>
          <w:color w:val="FF0000"/>
          <w:sz w:val="24"/>
          <w:szCs w:val="24"/>
        </w:rPr>
      </w:pPr>
    </w:p>
    <w:p w14:paraId="5B34BC09" w14:textId="77777777" w:rsidR="0063170D" w:rsidRDefault="0063170D" w:rsidP="0063170D">
      <w:pPr>
        <w:jc w:val="both"/>
        <w:rPr>
          <w:rFonts w:cs="Arial"/>
          <w:b/>
          <w:sz w:val="24"/>
          <w:szCs w:val="24"/>
        </w:rPr>
      </w:pPr>
    </w:p>
    <w:p w14:paraId="26174766" w14:textId="6BBA0A94" w:rsidR="008274FE" w:rsidRPr="0063170D" w:rsidRDefault="008274FE" w:rsidP="006A2F03">
      <w:pPr>
        <w:pStyle w:val="ListParagraph"/>
        <w:numPr>
          <w:ilvl w:val="0"/>
          <w:numId w:val="32"/>
        </w:numPr>
        <w:ind w:hanging="567"/>
        <w:jc w:val="both"/>
        <w:rPr>
          <w:rFonts w:cs="Arial"/>
          <w:b/>
          <w:sz w:val="24"/>
          <w:szCs w:val="24"/>
        </w:rPr>
      </w:pPr>
      <w:r w:rsidRPr="0063170D">
        <w:rPr>
          <w:rFonts w:cs="Arial"/>
          <w:b/>
          <w:sz w:val="24"/>
          <w:szCs w:val="24"/>
        </w:rPr>
        <w:t xml:space="preserve">CAPITAL </w:t>
      </w:r>
      <w:r w:rsidR="00BF3D3B" w:rsidRPr="0063170D">
        <w:rPr>
          <w:rFonts w:cs="Arial"/>
          <w:b/>
          <w:sz w:val="24"/>
          <w:szCs w:val="24"/>
        </w:rPr>
        <w:t xml:space="preserve">INVESTMENT </w:t>
      </w:r>
      <w:r w:rsidR="00BF3D3B" w:rsidRPr="0063170D">
        <w:rPr>
          <w:rFonts w:cs="Arial"/>
          <w:b/>
          <w:bCs/>
          <w:sz w:val="24"/>
          <w:szCs w:val="24"/>
        </w:rPr>
        <w:t>PLAN</w:t>
      </w:r>
    </w:p>
    <w:p w14:paraId="02CA0B16" w14:textId="77777777" w:rsidR="0063170D" w:rsidRPr="0063170D" w:rsidRDefault="0063170D" w:rsidP="0063170D">
      <w:pPr>
        <w:pStyle w:val="ListParagraph"/>
        <w:ind w:left="567"/>
        <w:jc w:val="both"/>
        <w:rPr>
          <w:rFonts w:cs="Arial"/>
          <w:b/>
          <w:sz w:val="24"/>
          <w:szCs w:val="24"/>
        </w:rPr>
      </w:pPr>
    </w:p>
    <w:p w14:paraId="2DC42E4D" w14:textId="3F1D872D" w:rsidR="008274FE" w:rsidRDefault="008274FE" w:rsidP="006A2F03">
      <w:pPr>
        <w:pStyle w:val="ListParagraph"/>
        <w:numPr>
          <w:ilvl w:val="1"/>
          <w:numId w:val="33"/>
        </w:numPr>
        <w:ind w:left="567" w:hanging="567"/>
        <w:jc w:val="both"/>
        <w:rPr>
          <w:rFonts w:cs="Arial"/>
          <w:b/>
          <w:sz w:val="24"/>
          <w:szCs w:val="24"/>
        </w:rPr>
      </w:pPr>
      <w:r w:rsidRPr="0063170D">
        <w:rPr>
          <w:rFonts w:cs="Arial"/>
          <w:b/>
          <w:sz w:val="24"/>
          <w:szCs w:val="24"/>
        </w:rPr>
        <w:t>Capitalisation Policy</w:t>
      </w:r>
    </w:p>
    <w:p w14:paraId="03CFCF7F" w14:textId="77777777" w:rsidR="0063170D" w:rsidRDefault="0063170D" w:rsidP="0063170D">
      <w:pPr>
        <w:pStyle w:val="ListParagraph"/>
        <w:ind w:left="567"/>
        <w:jc w:val="both"/>
        <w:rPr>
          <w:rFonts w:cs="Arial"/>
          <w:b/>
          <w:sz w:val="24"/>
          <w:szCs w:val="24"/>
        </w:rPr>
      </w:pPr>
    </w:p>
    <w:p w14:paraId="280B99FF" w14:textId="30FD4C8B" w:rsidR="008274FE" w:rsidRPr="0063170D" w:rsidRDefault="008274FE" w:rsidP="006A2F03">
      <w:pPr>
        <w:pStyle w:val="ListParagraph"/>
        <w:numPr>
          <w:ilvl w:val="1"/>
          <w:numId w:val="33"/>
        </w:numPr>
        <w:ind w:left="567" w:hanging="567"/>
        <w:jc w:val="both"/>
        <w:rPr>
          <w:rFonts w:cs="Arial"/>
          <w:b/>
          <w:sz w:val="24"/>
          <w:szCs w:val="24"/>
        </w:rPr>
      </w:pPr>
      <w:r w:rsidRPr="0063170D">
        <w:rPr>
          <w:rFonts w:cs="Arial"/>
          <w:sz w:val="24"/>
          <w:szCs w:val="24"/>
          <w:lang w:val="en-US"/>
        </w:rPr>
        <w:t>Expenditure is classified as capital expenditure when it results in the acquisition or construction of an asset (</w:t>
      </w:r>
      <w:r w:rsidR="00863B70" w:rsidRPr="0063170D">
        <w:rPr>
          <w:rFonts w:cs="Arial"/>
          <w:sz w:val="24"/>
          <w:szCs w:val="24"/>
          <w:lang w:val="en-US"/>
        </w:rPr>
        <w:t>e.g.</w:t>
      </w:r>
      <w:r w:rsidRPr="0063170D">
        <w:rPr>
          <w:rFonts w:cs="Arial"/>
          <w:sz w:val="24"/>
          <w:szCs w:val="24"/>
          <w:lang w:val="en-US"/>
        </w:rPr>
        <w:t xml:space="preserve"> land, buildings, vehicles, </w:t>
      </w:r>
      <w:r w:rsidR="00A070B0" w:rsidRPr="0063170D">
        <w:rPr>
          <w:rFonts w:cs="Arial"/>
          <w:sz w:val="24"/>
          <w:szCs w:val="24"/>
          <w:lang w:val="en-US"/>
        </w:rPr>
        <w:t>plant</w:t>
      </w:r>
      <w:r w:rsidRPr="0063170D">
        <w:rPr>
          <w:rFonts w:cs="Arial"/>
          <w:sz w:val="24"/>
          <w:szCs w:val="24"/>
          <w:lang w:val="en-US"/>
        </w:rPr>
        <w:t xml:space="preserve"> and equipment etc.) that:</w:t>
      </w:r>
    </w:p>
    <w:p w14:paraId="601F8FBF" w14:textId="77777777" w:rsidR="008274FE" w:rsidRPr="001533EE" w:rsidRDefault="008274FE" w:rsidP="008274FE">
      <w:pPr>
        <w:jc w:val="both"/>
        <w:rPr>
          <w:rFonts w:cs="Arial"/>
          <w:sz w:val="24"/>
          <w:szCs w:val="24"/>
          <w:lang w:val="en-US"/>
        </w:rPr>
      </w:pPr>
    </w:p>
    <w:p w14:paraId="35DA707F" w14:textId="77777777" w:rsidR="008274FE" w:rsidRPr="001533EE" w:rsidRDefault="008274FE" w:rsidP="006A2F03">
      <w:pPr>
        <w:pStyle w:val="ListParagraph"/>
        <w:numPr>
          <w:ilvl w:val="0"/>
          <w:numId w:val="3"/>
        </w:numPr>
        <w:ind w:left="1134" w:hanging="567"/>
        <w:contextualSpacing w:val="0"/>
        <w:jc w:val="both"/>
        <w:rPr>
          <w:rFonts w:cs="Arial"/>
          <w:sz w:val="24"/>
          <w:szCs w:val="24"/>
          <w:lang w:val="en-US"/>
        </w:rPr>
      </w:pPr>
      <w:r w:rsidRPr="001533EE">
        <w:rPr>
          <w:rFonts w:cs="Arial"/>
          <w:sz w:val="24"/>
          <w:szCs w:val="24"/>
          <w:lang w:val="en-US"/>
        </w:rPr>
        <w:t>Will be held for use in the delivery of services, for rental to others, investment or for administrative purposes; and</w:t>
      </w:r>
    </w:p>
    <w:p w14:paraId="181A9760" w14:textId="77777777" w:rsidR="008274FE" w:rsidRPr="001533EE" w:rsidRDefault="008274FE" w:rsidP="008274FE">
      <w:pPr>
        <w:pStyle w:val="ListParagraph"/>
        <w:ind w:left="1134"/>
        <w:jc w:val="both"/>
        <w:rPr>
          <w:rFonts w:cs="Arial"/>
          <w:sz w:val="24"/>
          <w:szCs w:val="24"/>
          <w:lang w:val="en-US"/>
        </w:rPr>
      </w:pPr>
    </w:p>
    <w:p w14:paraId="4F2DEC2E" w14:textId="77777777" w:rsidR="008274FE" w:rsidRPr="001533EE" w:rsidRDefault="008274FE" w:rsidP="006A2F03">
      <w:pPr>
        <w:pStyle w:val="ListParagraph"/>
        <w:numPr>
          <w:ilvl w:val="0"/>
          <w:numId w:val="3"/>
        </w:numPr>
        <w:ind w:left="1134" w:hanging="567"/>
        <w:contextualSpacing w:val="0"/>
        <w:jc w:val="both"/>
        <w:rPr>
          <w:rFonts w:cs="Arial"/>
          <w:sz w:val="24"/>
          <w:szCs w:val="24"/>
          <w:lang w:val="en-US"/>
        </w:rPr>
      </w:pPr>
      <w:r w:rsidRPr="001533EE">
        <w:rPr>
          <w:rFonts w:cs="Arial"/>
          <w:sz w:val="24"/>
          <w:szCs w:val="24"/>
          <w:lang w:val="en-US"/>
        </w:rPr>
        <w:t>Are of continuing benefit to the Authority for a period extending beyond one financial year.</w:t>
      </w:r>
    </w:p>
    <w:p w14:paraId="2FCA844B" w14:textId="77777777" w:rsidR="008274FE" w:rsidRPr="001533EE" w:rsidRDefault="008274FE" w:rsidP="008274FE">
      <w:pPr>
        <w:jc w:val="both"/>
        <w:rPr>
          <w:rFonts w:cs="Arial"/>
          <w:color w:val="FF0000"/>
          <w:sz w:val="24"/>
          <w:szCs w:val="24"/>
          <w:lang w:val="en-US"/>
        </w:rPr>
      </w:pPr>
    </w:p>
    <w:p w14:paraId="0741F416" w14:textId="77777777" w:rsidR="008274FE" w:rsidRDefault="008274FE" w:rsidP="008274FE">
      <w:pPr>
        <w:ind w:left="567"/>
        <w:jc w:val="both"/>
        <w:rPr>
          <w:rFonts w:cs="Arial"/>
          <w:sz w:val="24"/>
          <w:szCs w:val="24"/>
          <w:lang w:val="en-US"/>
        </w:rPr>
      </w:pPr>
      <w:r w:rsidRPr="001533EE">
        <w:rPr>
          <w:rFonts w:cs="Arial"/>
          <w:sz w:val="24"/>
          <w:szCs w:val="24"/>
          <w:lang w:val="en-US"/>
        </w:rPr>
        <w:t>Subsequent expenditure on existing assets is also classified as capital expenditure if these two criteria are met.</w:t>
      </w:r>
    </w:p>
    <w:p w14:paraId="03FCEAA5" w14:textId="77777777" w:rsidR="0063170D" w:rsidRDefault="0063170D" w:rsidP="008274FE">
      <w:pPr>
        <w:ind w:left="567"/>
        <w:jc w:val="both"/>
        <w:rPr>
          <w:rFonts w:cs="Arial"/>
          <w:sz w:val="24"/>
          <w:szCs w:val="24"/>
          <w:lang w:val="en-US"/>
        </w:rPr>
      </w:pPr>
    </w:p>
    <w:p w14:paraId="3FD782B7" w14:textId="524F53A6" w:rsidR="008274FE" w:rsidRPr="0063170D" w:rsidRDefault="008274FE" w:rsidP="006A2F03">
      <w:pPr>
        <w:pStyle w:val="ListParagraph"/>
        <w:numPr>
          <w:ilvl w:val="1"/>
          <w:numId w:val="33"/>
        </w:numPr>
        <w:ind w:left="567" w:hanging="567"/>
        <w:jc w:val="both"/>
        <w:rPr>
          <w:rFonts w:cs="Arial"/>
          <w:sz w:val="24"/>
          <w:szCs w:val="24"/>
          <w:lang w:val="en-US"/>
        </w:rPr>
      </w:pPr>
      <w:r w:rsidRPr="0063170D">
        <w:rPr>
          <w:rFonts w:cs="Arial"/>
          <w:sz w:val="24"/>
          <w:szCs w:val="24"/>
          <w:lang w:val="en-US"/>
        </w:rPr>
        <w:t>There may be instances where expenditure does not meet this definition but would be treated as capital expenditure, including:</w:t>
      </w:r>
    </w:p>
    <w:p w14:paraId="49BE74C8" w14:textId="77777777" w:rsidR="008274FE" w:rsidRPr="001533EE" w:rsidRDefault="008274FE" w:rsidP="008274FE">
      <w:pPr>
        <w:ind w:right="176"/>
        <w:jc w:val="both"/>
        <w:rPr>
          <w:rFonts w:cs="Arial"/>
          <w:sz w:val="24"/>
          <w:szCs w:val="24"/>
          <w:lang w:val="en-US"/>
        </w:rPr>
      </w:pPr>
    </w:p>
    <w:p w14:paraId="2A92EF61" w14:textId="77777777" w:rsidR="00E0237F" w:rsidRPr="001533EE" w:rsidRDefault="008274FE" w:rsidP="006A2F03">
      <w:pPr>
        <w:pStyle w:val="ListParagraph"/>
        <w:numPr>
          <w:ilvl w:val="0"/>
          <w:numId w:val="4"/>
        </w:numPr>
        <w:ind w:left="1134" w:right="176" w:hanging="567"/>
        <w:contextualSpacing w:val="0"/>
        <w:jc w:val="both"/>
        <w:rPr>
          <w:rFonts w:cs="Arial"/>
          <w:sz w:val="24"/>
          <w:szCs w:val="24"/>
          <w:lang w:val="en-US"/>
        </w:rPr>
      </w:pPr>
      <w:r w:rsidRPr="001533EE">
        <w:rPr>
          <w:rFonts w:cs="Arial"/>
          <w:sz w:val="24"/>
          <w:szCs w:val="24"/>
          <w:lang w:val="en-US"/>
        </w:rPr>
        <w:t>Where the Authority has no direct future control or benefit from the resulting assets, but would treat the expenditure as capital if it did control or benefi</w:t>
      </w:r>
      <w:r w:rsidR="0041242C" w:rsidRPr="001533EE">
        <w:rPr>
          <w:rFonts w:cs="Arial"/>
          <w:sz w:val="24"/>
          <w:szCs w:val="24"/>
          <w:lang w:val="en-US"/>
        </w:rPr>
        <w:t>t</w:t>
      </w:r>
      <w:r w:rsidR="00E0237F" w:rsidRPr="001533EE">
        <w:rPr>
          <w:rFonts w:cs="Arial"/>
          <w:sz w:val="24"/>
          <w:szCs w:val="24"/>
          <w:lang w:val="en-US"/>
        </w:rPr>
        <w:t xml:space="preserve"> from the resulting assets</w:t>
      </w:r>
      <w:r w:rsidR="00E434C8" w:rsidRPr="001533EE">
        <w:rPr>
          <w:rFonts w:cs="Arial"/>
          <w:sz w:val="24"/>
          <w:szCs w:val="24"/>
          <w:lang w:val="en-US"/>
        </w:rPr>
        <w:t>;</w:t>
      </w:r>
      <w:r w:rsidR="00432382" w:rsidRPr="001533EE">
        <w:rPr>
          <w:rFonts w:cs="Arial"/>
          <w:sz w:val="24"/>
          <w:szCs w:val="24"/>
          <w:lang w:val="en-US"/>
        </w:rPr>
        <w:t xml:space="preserve"> and</w:t>
      </w:r>
    </w:p>
    <w:p w14:paraId="61F62418" w14:textId="77777777" w:rsidR="00E434C8" w:rsidRPr="001533EE" w:rsidRDefault="00E434C8" w:rsidP="00E434C8">
      <w:pPr>
        <w:pStyle w:val="ListParagraph"/>
        <w:ind w:left="1134" w:right="176"/>
        <w:contextualSpacing w:val="0"/>
        <w:jc w:val="both"/>
        <w:rPr>
          <w:rFonts w:cs="Arial"/>
          <w:sz w:val="24"/>
          <w:szCs w:val="24"/>
          <w:lang w:val="en-US"/>
        </w:rPr>
      </w:pPr>
    </w:p>
    <w:p w14:paraId="3AD38DFA" w14:textId="77777777" w:rsidR="00E0237F" w:rsidRDefault="008274FE" w:rsidP="006A2F03">
      <w:pPr>
        <w:pStyle w:val="ListParagraph"/>
        <w:numPr>
          <w:ilvl w:val="0"/>
          <w:numId w:val="4"/>
        </w:numPr>
        <w:ind w:left="1134" w:right="176" w:hanging="567"/>
        <w:contextualSpacing w:val="0"/>
        <w:jc w:val="both"/>
        <w:rPr>
          <w:rFonts w:cs="Arial"/>
          <w:sz w:val="24"/>
          <w:szCs w:val="24"/>
          <w:lang w:val="en-US"/>
        </w:rPr>
      </w:pPr>
      <w:r w:rsidRPr="001533EE">
        <w:rPr>
          <w:rFonts w:cs="Arial"/>
          <w:sz w:val="24"/>
          <w:szCs w:val="24"/>
          <w:lang w:val="en-US"/>
        </w:rPr>
        <w:t xml:space="preserve">Where statutory regulations require the Authority to </w:t>
      </w:r>
      <w:proofErr w:type="spellStart"/>
      <w:r w:rsidRPr="001533EE">
        <w:rPr>
          <w:rFonts w:cs="Arial"/>
          <w:sz w:val="24"/>
          <w:szCs w:val="24"/>
          <w:lang w:val="en-US"/>
        </w:rPr>
        <w:t>capitalise</w:t>
      </w:r>
      <w:proofErr w:type="spellEnd"/>
      <w:r w:rsidRPr="001533EE">
        <w:rPr>
          <w:rFonts w:cs="Arial"/>
          <w:sz w:val="24"/>
          <w:szCs w:val="24"/>
          <w:lang w:val="en-US"/>
        </w:rPr>
        <w:t xml:space="preserve"> expenditure that would not otherwise have expenditure implications according to accounting rules</w:t>
      </w:r>
      <w:r w:rsidR="0041242C" w:rsidRPr="001533EE">
        <w:rPr>
          <w:rFonts w:cs="Arial"/>
          <w:sz w:val="24"/>
          <w:szCs w:val="24"/>
          <w:lang w:val="en-US"/>
        </w:rPr>
        <w:t xml:space="preserve">. </w:t>
      </w:r>
    </w:p>
    <w:p w14:paraId="385077AE" w14:textId="77777777" w:rsidR="0063170D" w:rsidRPr="0063170D" w:rsidRDefault="0063170D" w:rsidP="0063170D">
      <w:pPr>
        <w:ind w:right="176"/>
        <w:jc w:val="both"/>
        <w:rPr>
          <w:rFonts w:cs="Arial"/>
          <w:sz w:val="24"/>
          <w:szCs w:val="24"/>
          <w:lang w:val="en-US"/>
        </w:rPr>
      </w:pPr>
    </w:p>
    <w:p w14:paraId="052CB955" w14:textId="3CB84F26" w:rsidR="008274FE" w:rsidRDefault="008274FE" w:rsidP="006A2F03">
      <w:pPr>
        <w:pStyle w:val="ListParagraph"/>
        <w:numPr>
          <w:ilvl w:val="1"/>
          <w:numId w:val="33"/>
        </w:numPr>
        <w:ind w:left="567" w:right="176" w:hanging="567"/>
        <w:jc w:val="both"/>
        <w:rPr>
          <w:rFonts w:cs="Arial"/>
          <w:sz w:val="24"/>
          <w:szCs w:val="24"/>
          <w:lang w:val="en-US"/>
        </w:rPr>
      </w:pPr>
      <w:r w:rsidRPr="0063170D">
        <w:rPr>
          <w:rFonts w:cs="Arial"/>
          <w:sz w:val="24"/>
          <w:szCs w:val="24"/>
          <w:lang w:val="en-US"/>
        </w:rPr>
        <w:t xml:space="preserve">The Authority operates </w:t>
      </w:r>
      <w:r w:rsidR="000A5D7D" w:rsidRPr="0063170D">
        <w:rPr>
          <w:rFonts w:cs="Arial"/>
          <w:sz w:val="24"/>
          <w:szCs w:val="24"/>
          <w:lang w:val="en-US"/>
        </w:rPr>
        <w:t>a de-minimis limit</w:t>
      </w:r>
      <w:r w:rsidRPr="0063170D">
        <w:rPr>
          <w:rFonts w:cs="Arial"/>
          <w:sz w:val="24"/>
          <w:szCs w:val="24"/>
          <w:lang w:val="en-US"/>
        </w:rPr>
        <w:t xml:space="preserve"> for capital expenditure of £10,000.  This means that items below th</w:t>
      </w:r>
      <w:r w:rsidR="009E0C14" w:rsidRPr="0063170D">
        <w:rPr>
          <w:rFonts w:cs="Arial"/>
          <w:sz w:val="24"/>
          <w:szCs w:val="24"/>
          <w:lang w:val="en-US"/>
        </w:rPr>
        <w:t>is</w:t>
      </w:r>
      <w:r w:rsidRPr="0063170D">
        <w:rPr>
          <w:rFonts w:cs="Arial"/>
          <w:sz w:val="24"/>
          <w:szCs w:val="24"/>
          <w:lang w:val="en-US"/>
        </w:rPr>
        <w:t xml:space="preserve"> limit are charged to revenue rather than capital.</w:t>
      </w:r>
    </w:p>
    <w:p w14:paraId="30F9DCE5" w14:textId="77777777" w:rsidR="0063170D" w:rsidRDefault="0063170D" w:rsidP="0063170D">
      <w:pPr>
        <w:pStyle w:val="ListParagraph"/>
        <w:ind w:left="567" w:right="176"/>
        <w:jc w:val="both"/>
        <w:rPr>
          <w:rFonts w:cs="Arial"/>
          <w:sz w:val="24"/>
          <w:szCs w:val="24"/>
          <w:lang w:val="en-US"/>
        </w:rPr>
      </w:pPr>
    </w:p>
    <w:p w14:paraId="3DA7C3A5" w14:textId="07CBD5C6" w:rsidR="00BF3D3B" w:rsidRPr="0063170D" w:rsidRDefault="00BF3D3B" w:rsidP="006A2F03">
      <w:pPr>
        <w:pStyle w:val="ListParagraph"/>
        <w:numPr>
          <w:ilvl w:val="1"/>
          <w:numId w:val="33"/>
        </w:numPr>
        <w:ind w:left="567" w:right="176" w:hanging="567"/>
        <w:jc w:val="both"/>
        <w:rPr>
          <w:rFonts w:cs="Arial"/>
          <w:b/>
          <w:sz w:val="24"/>
          <w:szCs w:val="24"/>
          <w:lang w:val="en-US"/>
        </w:rPr>
      </w:pPr>
      <w:r w:rsidRPr="0063170D">
        <w:rPr>
          <w:b/>
          <w:sz w:val="24"/>
          <w:szCs w:val="24"/>
          <w:lang w:val="en-US"/>
        </w:rPr>
        <w:t>Capital expenditure plans</w:t>
      </w:r>
    </w:p>
    <w:p w14:paraId="25EDFAF7" w14:textId="77777777" w:rsidR="0063170D" w:rsidRPr="0063170D" w:rsidRDefault="0063170D" w:rsidP="0063170D">
      <w:pPr>
        <w:pStyle w:val="ListParagraph"/>
        <w:rPr>
          <w:rFonts w:cs="Arial"/>
          <w:b/>
          <w:sz w:val="24"/>
          <w:szCs w:val="24"/>
          <w:lang w:val="en-US"/>
        </w:rPr>
      </w:pPr>
    </w:p>
    <w:p w14:paraId="00B82816" w14:textId="5470962C" w:rsidR="007C580A" w:rsidRDefault="00BF3D3B" w:rsidP="006A2F03">
      <w:pPr>
        <w:pStyle w:val="ListParagraph"/>
        <w:numPr>
          <w:ilvl w:val="1"/>
          <w:numId w:val="33"/>
        </w:numPr>
        <w:ind w:left="567" w:right="176" w:hanging="567"/>
        <w:jc w:val="both"/>
        <w:rPr>
          <w:sz w:val="24"/>
          <w:szCs w:val="24"/>
          <w:lang w:val="en-US"/>
        </w:rPr>
      </w:pPr>
      <w:r w:rsidRPr="0063170D">
        <w:rPr>
          <w:sz w:val="24"/>
          <w:szCs w:val="24"/>
          <w:lang w:val="en-US"/>
        </w:rPr>
        <w:t xml:space="preserve">The Authority’s strategies and plans support the need for capital investment to enable required outcomes. The Authority has a responsibility to apply an affordable, </w:t>
      </w:r>
      <w:r w:rsidR="00E537D7" w:rsidRPr="0063170D">
        <w:rPr>
          <w:sz w:val="24"/>
          <w:szCs w:val="24"/>
          <w:lang w:val="en-US"/>
        </w:rPr>
        <w:t>prudent,</w:t>
      </w:r>
      <w:r w:rsidRPr="0063170D">
        <w:rPr>
          <w:sz w:val="24"/>
          <w:szCs w:val="24"/>
          <w:lang w:val="en-US"/>
        </w:rPr>
        <w:t xml:space="preserve"> and sustainable approach to that investment, as set out in the Prudential Code and therefore uses the </w:t>
      </w:r>
      <w:proofErr w:type="spellStart"/>
      <w:r w:rsidRPr="0063170D">
        <w:rPr>
          <w:sz w:val="24"/>
          <w:szCs w:val="24"/>
          <w:lang w:val="en-US"/>
        </w:rPr>
        <w:t>prioritisation</w:t>
      </w:r>
      <w:proofErr w:type="spellEnd"/>
      <w:r w:rsidRPr="0063170D">
        <w:rPr>
          <w:sz w:val="24"/>
          <w:szCs w:val="24"/>
          <w:lang w:val="en-US"/>
        </w:rPr>
        <w:t xml:space="preserve"> and planning process to manage this as described above. </w:t>
      </w:r>
    </w:p>
    <w:p w14:paraId="6EF0696E" w14:textId="77777777" w:rsidR="007C580A" w:rsidRPr="007C580A" w:rsidRDefault="007C580A" w:rsidP="007C580A">
      <w:pPr>
        <w:pStyle w:val="ListParagraph"/>
        <w:rPr>
          <w:sz w:val="24"/>
          <w:szCs w:val="24"/>
          <w:lang w:val="en-US"/>
        </w:rPr>
      </w:pPr>
    </w:p>
    <w:p w14:paraId="3C8E61EE" w14:textId="6C84D587" w:rsidR="00D635A0" w:rsidRPr="007C580A" w:rsidRDefault="00D635A0" w:rsidP="006A2F03">
      <w:pPr>
        <w:pStyle w:val="ListParagraph"/>
        <w:numPr>
          <w:ilvl w:val="1"/>
          <w:numId w:val="33"/>
        </w:numPr>
        <w:ind w:left="567" w:right="176" w:hanging="567"/>
        <w:jc w:val="both"/>
        <w:rPr>
          <w:sz w:val="24"/>
          <w:szCs w:val="24"/>
          <w:lang w:val="en-US"/>
        </w:rPr>
      </w:pPr>
      <w:r w:rsidRPr="007C580A">
        <w:rPr>
          <w:bCs/>
          <w:sz w:val="24"/>
          <w:szCs w:val="24"/>
        </w:rPr>
        <w:t>As previously mentioned there continues to be a need for some significant investment within the Estate from which the Fire Service operates. Some of this required immediate attention to ensure that the buildings were both accessible to a more diverse workforce and the public, where needed. Funds were set aside to address this, and the work was completed in 2024/25.</w:t>
      </w:r>
    </w:p>
    <w:p w14:paraId="71082D06" w14:textId="77777777" w:rsidR="007C580A" w:rsidRPr="007C580A" w:rsidRDefault="007C580A" w:rsidP="007C580A">
      <w:pPr>
        <w:pStyle w:val="ListParagraph"/>
        <w:rPr>
          <w:sz w:val="24"/>
          <w:szCs w:val="24"/>
          <w:lang w:val="en-US"/>
        </w:rPr>
      </w:pPr>
    </w:p>
    <w:p w14:paraId="3686C65B" w14:textId="61EE00B5" w:rsidR="00D635A0" w:rsidRPr="006A2F03" w:rsidRDefault="00D635A0" w:rsidP="006A2F03">
      <w:pPr>
        <w:pStyle w:val="ListParagraph"/>
        <w:numPr>
          <w:ilvl w:val="1"/>
          <w:numId w:val="33"/>
        </w:numPr>
        <w:ind w:left="567" w:right="176" w:hanging="567"/>
        <w:jc w:val="both"/>
        <w:rPr>
          <w:bCs/>
          <w:sz w:val="24"/>
          <w:szCs w:val="24"/>
        </w:rPr>
      </w:pPr>
      <w:r w:rsidRPr="007C580A">
        <w:rPr>
          <w:bCs/>
          <w:sz w:val="24"/>
          <w:szCs w:val="24"/>
        </w:rPr>
        <w:t xml:space="preserve">In addition </w:t>
      </w:r>
      <w:r w:rsidRPr="00B65A83">
        <w:rPr>
          <w:bCs/>
          <w:sz w:val="24"/>
          <w:szCs w:val="24"/>
        </w:rPr>
        <w:t>to this</w:t>
      </w:r>
      <w:r w:rsidR="00B65A83" w:rsidRPr="00B65A83">
        <w:rPr>
          <w:bCs/>
          <w:sz w:val="24"/>
          <w:szCs w:val="24"/>
        </w:rPr>
        <w:t>,</w:t>
      </w:r>
      <w:r w:rsidRPr="00B65A83">
        <w:rPr>
          <w:bCs/>
          <w:sz w:val="24"/>
          <w:szCs w:val="24"/>
        </w:rPr>
        <w:t xml:space="preserve"> a</w:t>
      </w:r>
      <w:r w:rsidRPr="007C580A">
        <w:rPr>
          <w:bCs/>
          <w:sz w:val="24"/>
          <w:szCs w:val="24"/>
        </w:rPr>
        <w:t xml:space="preserve"> complete refurbishment of Ripon Fire Station, to make it a joint </w:t>
      </w:r>
      <w:r w:rsidRPr="006A2F03">
        <w:rPr>
          <w:bCs/>
          <w:sz w:val="24"/>
          <w:szCs w:val="24"/>
        </w:rPr>
        <w:t xml:space="preserve">base for Fire and Police is </w:t>
      </w:r>
      <w:r w:rsidR="00163139" w:rsidRPr="006A2F03">
        <w:rPr>
          <w:bCs/>
          <w:sz w:val="24"/>
          <w:szCs w:val="24"/>
        </w:rPr>
        <w:t>now</w:t>
      </w:r>
      <w:r w:rsidRPr="006A2F03">
        <w:rPr>
          <w:bCs/>
          <w:sz w:val="24"/>
          <w:szCs w:val="24"/>
        </w:rPr>
        <w:t xml:space="preserve"> to be complete.</w:t>
      </w:r>
    </w:p>
    <w:p w14:paraId="0C6AB753" w14:textId="77777777" w:rsidR="007C580A" w:rsidRPr="006A2F03" w:rsidRDefault="007C580A" w:rsidP="007C580A">
      <w:pPr>
        <w:pStyle w:val="ListParagraph"/>
        <w:rPr>
          <w:bCs/>
          <w:sz w:val="24"/>
          <w:szCs w:val="24"/>
        </w:rPr>
      </w:pPr>
    </w:p>
    <w:p w14:paraId="6D60BEB2" w14:textId="77777777" w:rsidR="006A2F03" w:rsidRPr="006A2F03" w:rsidRDefault="00D635A0" w:rsidP="006A2F03">
      <w:pPr>
        <w:pStyle w:val="ListParagraph"/>
        <w:numPr>
          <w:ilvl w:val="1"/>
          <w:numId w:val="33"/>
        </w:numPr>
        <w:ind w:left="567" w:right="176" w:hanging="567"/>
        <w:jc w:val="both"/>
        <w:rPr>
          <w:bCs/>
          <w:color w:val="FF0000"/>
          <w:sz w:val="24"/>
          <w:szCs w:val="24"/>
        </w:rPr>
      </w:pPr>
      <w:r w:rsidRPr="006A2F03">
        <w:rPr>
          <w:bCs/>
          <w:sz w:val="24"/>
          <w:szCs w:val="24"/>
        </w:rPr>
        <w:t xml:space="preserve">As with Ripon, there is a need to assess entire buildings and determine whether they are suitable for the delivery of </w:t>
      </w:r>
      <w:r w:rsidR="007C580A" w:rsidRPr="006A2F03">
        <w:rPr>
          <w:bCs/>
          <w:sz w:val="24"/>
          <w:szCs w:val="24"/>
        </w:rPr>
        <w:t>modern-day</w:t>
      </w:r>
      <w:r w:rsidRPr="006A2F03">
        <w:rPr>
          <w:bCs/>
          <w:sz w:val="24"/>
          <w:szCs w:val="24"/>
        </w:rPr>
        <w:t xml:space="preserve"> services. While affordability will remain a key challenge, plans to refresh the estate continue to be developed. The current Capital </w:t>
      </w:r>
      <w:r w:rsidR="007C580A" w:rsidRPr="006A2F03">
        <w:rPr>
          <w:bCs/>
          <w:sz w:val="24"/>
          <w:szCs w:val="24"/>
        </w:rPr>
        <w:t>P</w:t>
      </w:r>
      <w:r w:rsidRPr="006A2F03">
        <w:rPr>
          <w:bCs/>
          <w:sz w:val="24"/>
          <w:szCs w:val="24"/>
        </w:rPr>
        <w:t xml:space="preserve">lan </w:t>
      </w:r>
      <w:r w:rsidR="007C580A" w:rsidRPr="006A2F03">
        <w:rPr>
          <w:bCs/>
          <w:sz w:val="24"/>
          <w:szCs w:val="24"/>
        </w:rPr>
        <w:t>is</w:t>
      </w:r>
      <w:r w:rsidRPr="006A2F03">
        <w:rPr>
          <w:bCs/>
          <w:sz w:val="24"/>
          <w:szCs w:val="24"/>
        </w:rPr>
        <w:t xml:space="preserve"> set out below</w:t>
      </w:r>
      <w:r w:rsidR="007C580A" w:rsidRPr="006A2F03">
        <w:rPr>
          <w:bCs/>
          <w:sz w:val="24"/>
          <w:szCs w:val="24"/>
        </w:rPr>
        <w:t>:</w:t>
      </w:r>
      <w:r w:rsidR="00F70183" w:rsidRPr="006A2F03">
        <w:rPr>
          <w:bCs/>
          <w:sz w:val="24"/>
          <w:szCs w:val="24"/>
        </w:rPr>
        <w:t xml:space="preserve"> </w:t>
      </w:r>
    </w:p>
    <w:p w14:paraId="3380987E" w14:textId="77777777" w:rsidR="006A2F03" w:rsidRPr="006A2F03" w:rsidRDefault="006A2F03" w:rsidP="006A2F03">
      <w:pPr>
        <w:pStyle w:val="ListParagraph"/>
        <w:rPr>
          <w:bCs/>
          <w:color w:val="FF0000"/>
          <w:sz w:val="24"/>
          <w:szCs w:val="24"/>
          <w:highlight w:val="yellow"/>
        </w:rPr>
      </w:pPr>
    </w:p>
    <w:p w14:paraId="46306F98" w14:textId="01535D16" w:rsidR="00F70183" w:rsidRPr="001533EE" w:rsidRDefault="00F70183" w:rsidP="006A2F03">
      <w:pPr>
        <w:pStyle w:val="subhead"/>
        <w:tabs>
          <w:tab w:val="left" w:pos="567"/>
        </w:tabs>
        <w:spacing w:before="0" w:after="0"/>
        <w:ind w:left="426" w:hanging="426"/>
        <w:jc w:val="left"/>
        <w:rPr>
          <w:b w:val="0"/>
          <w:noProof w:val="0"/>
          <w:sz w:val="24"/>
          <w:szCs w:val="24"/>
          <w:lang w:val="en-US" w:eastAsia="en-GB"/>
        </w:rPr>
      </w:pPr>
      <w:r>
        <w:rPr>
          <w:b w:val="0"/>
          <w:noProof w:val="0"/>
          <w:sz w:val="24"/>
          <w:szCs w:val="24"/>
          <w:lang w:val="en-US" w:eastAsia="en-GB"/>
        </w:rPr>
        <w:tab/>
      </w:r>
      <w:r w:rsidR="006A2F03" w:rsidRPr="006A2F03">
        <w:drawing>
          <wp:inline distT="0" distB="0" distL="0" distR="0" wp14:anchorId="6AD65F24" wp14:editId="3DF987A6">
            <wp:extent cx="6120130" cy="4408170"/>
            <wp:effectExtent l="0" t="0" r="0" b="0"/>
            <wp:docPr id="9174351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20130" cy="4408170"/>
                    </a:xfrm>
                    <a:prstGeom prst="rect">
                      <a:avLst/>
                    </a:prstGeom>
                    <a:noFill/>
                    <a:ln>
                      <a:noFill/>
                    </a:ln>
                  </pic:spPr>
                </pic:pic>
              </a:graphicData>
            </a:graphic>
          </wp:inline>
        </w:drawing>
      </w:r>
    </w:p>
    <w:p w14:paraId="1E629F70" w14:textId="488B5A49" w:rsidR="00A310D5" w:rsidRDefault="00A310D5" w:rsidP="00BC700D">
      <w:pPr>
        <w:pStyle w:val="subhead"/>
        <w:spacing w:before="0" w:after="0"/>
        <w:ind w:left="709" w:hanging="142"/>
        <w:rPr>
          <w:b w:val="0"/>
          <w:noProof w:val="0"/>
          <w:sz w:val="24"/>
          <w:szCs w:val="24"/>
          <w:lang w:val="en-US" w:eastAsia="en-GB"/>
        </w:rPr>
      </w:pPr>
    </w:p>
    <w:p w14:paraId="690CBD55" w14:textId="77777777" w:rsidR="007C580A" w:rsidRPr="001533EE" w:rsidRDefault="007C580A" w:rsidP="00F70183">
      <w:pPr>
        <w:pStyle w:val="subhead"/>
        <w:spacing w:before="0" w:after="0"/>
        <w:rPr>
          <w:b w:val="0"/>
          <w:noProof w:val="0"/>
          <w:sz w:val="24"/>
          <w:szCs w:val="24"/>
          <w:lang w:val="en-US" w:eastAsia="en-GB"/>
        </w:rPr>
      </w:pPr>
    </w:p>
    <w:p w14:paraId="3CA98A3C" w14:textId="1F73DCF8" w:rsidR="006A2F03" w:rsidRPr="006A2F03" w:rsidRDefault="0063170D" w:rsidP="006A2F03">
      <w:pPr>
        <w:pStyle w:val="ListParagraph"/>
        <w:numPr>
          <w:ilvl w:val="1"/>
          <w:numId w:val="33"/>
        </w:numPr>
        <w:ind w:left="567" w:hanging="567"/>
        <w:jc w:val="both"/>
        <w:rPr>
          <w:rFonts w:cs="Arial"/>
          <w:color w:val="FF0000"/>
          <w:sz w:val="24"/>
          <w:szCs w:val="24"/>
        </w:rPr>
      </w:pPr>
      <w:r w:rsidRPr="006A2F03">
        <w:rPr>
          <w:rFonts w:cs="Arial"/>
          <w:sz w:val="24"/>
          <w:szCs w:val="24"/>
        </w:rPr>
        <w:t>Th</w:t>
      </w:r>
      <w:r w:rsidR="007C580A" w:rsidRPr="006A2F03">
        <w:rPr>
          <w:rFonts w:cs="Arial"/>
          <w:sz w:val="24"/>
          <w:szCs w:val="24"/>
        </w:rPr>
        <w:t>is</w:t>
      </w:r>
      <w:r w:rsidRPr="006A2F03">
        <w:rPr>
          <w:rFonts w:cs="Arial"/>
          <w:sz w:val="24"/>
          <w:szCs w:val="24"/>
        </w:rPr>
        <w:t xml:space="preserve"> plan incorporate</w:t>
      </w:r>
      <w:r w:rsidR="007C580A" w:rsidRPr="006A2F03">
        <w:rPr>
          <w:rFonts w:cs="Arial"/>
          <w:sz w:val="24"/>
          <w:szCs w:val="24"/>
        </w:rPr>
        <w:t>s</w:t>
      </w:r>
      <w:r w:rsidRPr="006A2F03">
        <w:rPr>
          <w:rFonts w:cs="Arial"/>
          <w:sz w:val="24"/>
          <w:szCs w:val="24"/>
        </w:rPr>
        <w:t xml:space="preserve"> the outcomes from the findings of the 202</w:t>
      </w:r>
      <w:r w:rsidR="00A24A04" w:rsidRPr="006A2F03">
        <w:rPr>
          <w:rFonts w:cs="Arial"/>
          <w:sz w:val="24"/>
          <w:szCs w:val="24"/>
        </w:rPr>
        <w:t>6</w:t>
      </w:r>
      <w:r w:rsidRPr="006A2F03">
        <w:rPr>
          <w:rFonts w:cs="Arial"/>
          <w:sz w:val="24"/>
          <w:szCs w:val="24"/>
        </w:rPr>
        <w:t>/2</w:t>
      </w:r>
      <w:r w:rsidR="00A24A04" w:rsidRPr="006A2F03">
        <w:rPr>
          <w:rFonts w:cs="Arial"/>
          <w:sz w:val="24"/>
          <w:szCs w:val="24"/>
        </w:rPr>
        <w:t>7</w:t>
      </w:r>
      <w:r w:rsidRPr="006A2F03">
        <w:rPr>
          <w:rFonts w:cs="Arial"/>
          <w:sz w:val="24"/>
          <w:szCs w:val="24"/>
        </w:rPr>
        <w:t xml:space="preserve"> stock condition surveys (of the Fire Estate) and set</w:t>
      </w:r>
      <w:r w:rsidR="00B65A83" w:rsidRPr="006A2F03">
        <w:rPr>
          <w:rFonts w:cs="Arial"/>
          <w:sz w:val="24"/>
          <w:szCs w:val="24"/>
        </w:rPr>
        <w:t>s</w:t>
      </w:r>
      <w:r w:rsidRPr="006A2F03">
        <w:rPr>
          <w:rFonts w:cs="Arial"/>
          <w:sz w:val="24"/>
          <w:szCs w:val="24"/>
        </w:rPr>
        <w:t xml:space="preserve"> out the need to spend around £</w:t>
      </w:r>
      <w:r w:rsidR="00BD0FA3" w:rsidRPr="006A2F03">
        <w:rPr>
          <w:rFonts w:cs="Arial"/>
          <w:sz w:val="24"/>
          <w:szCs w:val="24"/>
        </w:rPr>
        <w:t>500</w:t>
      </w:r>
      <w:r w:rsidRPr="006A2F03">
        <w:rPr>
          <w:rFonts w:cs="Arial"/>
          <w:sz w:val="24"/>
          <w:szCs w:val="24"/>
        </w:rPr>
        <w:t xml:space="preserve">k </w:t>
      </w:r>
      <w:r w:rsidR="006A2F03" w:rsidRPr="006A2F03">
        <w:rPr>
          <w:rFonts w:cs="Arial"/>
          <w:sz w:val="24"/>
          <w:szCs w:val="24"/>
        </w:rPr>
        <w:t>per year across the plan.</w:t>
      </w:r>
    </w:p>
    <w:p w14:paraId="6EECF731" w14:textId="77777777" w:rsidR="006A2F03" w:rsidRPr="006A2F03" w:rsidRDefault="006A2F03" w:rsidP="006A2F03">
      <w:pPr>
        <w:pStyle w:val="ListParagraph"/>
        <w:ind w:left="567"/>
        <w:jc w:val="both"/>
        <w:rPr>
          <w:rFonts w:cs="Arial"/>
          <w:color w:val="FF0000"/>
          <w:sz w:val="24"/>
          <w:szCs w:val="24"/>
        </w:rPr>
      </w:pPr>
    </w:p>
    <w:p w14:paraId="53E90DB6" w14:textId="18D961BE" w:rsidR="0063170D" w:rsidRPr="006A2F03" w:rsidRDefault="0063170D" w:rsidP="006A2F03">
      <w:pPr>
        <w:pStyle w:val="ListParagraph"/>
        <w:numPr>
          <w:ilvl w:val="1"/>
          <w:numId w:val="33"/>
        </w:numPr>
        <w:ind w:left="567" w:hanging="567"/>
        <w:jc w:val="both"/>
        <w:rPr>
          <w:rFonts w:cs="Arial"/>
          <w:color w:val="FF0000"/>
          <w:sz w:val="24"/>
          <w:szCs w:val="24"/>
        </w:rPr>
      </w:pPr>
      <w:r w:rsidRPr="006A2F03">
        <w:rPr>
          <w:rFonts w:cs="Arial"/>
          <w:sz w:val="24"/>
          <w:szCs w:val="24"/>
        </w:rPr>
        <w:t>In addition to the need to invest in the Estate it has also been a challenge to replace some elements of the Fire Fleet over the last couple of years primarily due to the pandemic.</w:t>
      </w:r>
    </w:p>
    <w:p w14:paraId="1EBC3503" w14:textId="77777777" w:rsidR="007C580A" w:rsidRPr="006A2F03" w:rsidRDefault="007C580A" w:rsidP="007C580A">
      <w:pPr>
        <w:pStyle w:val="ListParagraph"/>
        <w:rPr>
          <w:rFonts w:cs="Arial"/>
          <w:sz w:val="24"/>
          <w:szCs w:val="24"/>
        </w:rPr>
      </w:pPr>
    </w:p>
    <w:p w14:paraId="6926F467" w14:textId="4AB534FA" w:rsidR="006A2F03" w:rsidRPr="006A2F03" w:rsidRDefault="0063170D" w:rsidP="006A2F03">
      <w:pPr>
        <w:pStyle w:val="ListParagraph"/>
        <w:numPr>
          <w:ilvl w:val="1"/>
          <w:numId w:val="33"/>
        </w:numPr>
        <w:ind w:left="567" w:hanging="567"/>
        <w:jc w:val="both"/>
        <w:rPr>
          <w:rFonts w:cs="Arial"/>
          <w:sz w:val="24"/>
          <w:szCs w:val="24"/>
        </w:rPr>
      </w:pPr>
      <w:r w:rsidRPr="006A2F03">
        <w:rPr>
          <w:rFonts w:cs="Arial"/>
          <w:sz w:val="24"/>
          <w:szCs w:val="24"/>
        </w:rPr>
        <w:t xml:space="preserve">The Service has </w:t>
      </w:r>
      <w:r w:rsidR="006A2F03" w:rsidRPr="006A2F03">
        <w:rPr>
          <w:rFonts w:cs="Arial"/>
          <w:sz w:val="24"/>
          <w:szCs w:val="24"/>
        </w:rPr>
        <w:t xml:space="preserve">received </w:t>
      </w:r>
      <w:r w:rsidRPr="006A2F03">
        <w:rPr>
          <w:rFonts w:cs="Arial"/>
          <w:sz w:val="24"/>
          <w:szCs w:val="24"/>
        </w:rPr>
        <w:t>16 new Fire Appliances</w:t>
      </w:r>
      <w:r w:rsidR="006A2F03" w:rsidRPr="006A2F03">
        <w:rPr>
          <w:rFonts w:cs="Arial"/>
          <w:sz w:val="24"/>
          <w:szCs w:val="24"/>
        </w:rPr>
        <w:t>, and further work is needed to develop and then deliver and affordable Fleet Strategy.</w:t>
      </w:r>
    </w:p>
    <w:p w14:paraId="167AF487" w14:textId="77777777" w:rsidR="006A2F03" w:rsidRPr="006A2F03" w:rsidRDefault="006A2F03" w:rsidP="006A2F03">
      <w:pPr>
        <w:pStyle w:val="ListParagraph"/>
        <w:rPr>
          <w:rFonts w:cs="Arial"/>
          <w:color w:val="FF0000"/>
          <w:sz w:val="24"/>
          <w:szCs w:val="24"/>
          <w:highlight w:val="yellow"/>
        </w:rPr>
      </w:pPr>
    </w:p>
    <w:p w14:paraId="4F4A50CF" w14:textId="77777777" w:rsidR="0063170D" w:rsidRPr="00115282" w:rsidRDefault="0063170D" w:rsidP="006A2F03">
      <w:pPr>
        <w:pStyle w:val="ListParagraph"/>
        <w:numPr>
          <w:ilvl w:val="1"/>
          <w:numId w:val="33"/>
        </w:numPr>
        <w:ind w:left="567" w:hanging="567"/>
        <w:jc w:val="both"/>
        <w:rPr>
          <w:rFonts w:cs="Arial"/>
          <w:sz w:val="24"/>
          <w:szCs w:val="24"/>
        </w:rPr>
      </w:pPr>
      <w:proofErr w:type="gramStart"/>
      <w:r w:rsidRPr="00115282">
        <w:rPr>
          <w:rFonts w:cs="Arial"/>
          <w:sz w:val="24"/>
          <w:szCs w:val="24"/>
        </w:rPr>
        <w:t>All of</w:t>
      </w:r>
      <w:proofErr w:type="gramEnd"/>
      <w:r w:rsidRPr="00115282">
        <w:rPr>
          <w:rFonts w:cs="Arial"/>
          <w:sz w:val="24"/>
          <w:szCs w:val="24"/>
        </w:rPr>
        <w:t xml:space="preserve"> these plans will be refreshed, refined, prioritised and kept under close review to ensure that they are both affordable and necessary.</w:t>
      </w:r>
    </w:p>
    <w:p w14:paraId="6D165CF9" w14:textId="77777777" w:rsidR="007C580A" w:rsidRPr="007C580A" w:rsidRDefault="007C580A" w:rsidP="007C580A">
      <w:pPr>
        <w:pStyle w:val="ListParagraph"/>
        <w:rPr>
          <w:rFonts w:cs="Arial"/>
          <w:sz w:val="24"/>
          <w:szCs w:val="24"/>
          <w:highlight w:val="yellow"/>
        </w:rPr>
      </w:pPr>
    </w:p>
    <w:p w14:paraId="2E6F9ABF" w14:textId="77777777" w:rsidR="007C580A" w:rsidRPr="00CA037A" w:rsidRDefault="007C580A" w:rsidP="006A2F03">
      <w:pPr>
        <w:numPr>
          <w:ilvl w:val="1"/>
          <w:numId w:val="33"/>
        </w:numPr>
        <w:ind w:left="709" w:hanging="709"/>
        <w:jc w:val="both"/>
        <w:rPr>
          <w:rFonts w:cs="Arial"/>
          <w:sz w:val="24"/>
          <w:szCs w:val="24"/>
          <w:u w:val="single"/>
        </w:rPr>
      </w:pPr>
      <w:r w:rsidRPr="007C580A">
        <w:rPr>
          <w:rFonts w:cs="Arial"/>
          <w:sz w:val="24"/>
          <w:szCs w:val="24"/>
        </w:rPr>
        <w:t xml:space="preserve">While the Capital Plans for the Fire Service are separately managed to the wider Combined Authority the organisation </w:t>
      </w:r>
      <w:proofErr w:type="gramStart"/>
      <w:r w:rsidRPr="007C580A">
        <w:rPr>
          <w:rFonts w:cs="Arial"/>
          <w:sz w:val="24"/>
          <w:szCs w:val="24"/>
        </w:rPr>
        <w:t>as a whole will</w:t>
      </w:r>
      <w:proofErr w:type="gramEnd"/>
      <w:r w:rsidRPr="007C580A">
        <w:rPr>
          <w:rFonts w:cs="Arial"/>
          <w:sz w:val="24"/>
          <w:szCs w:val="24"/>
        </w:rPr>
        <w:t xml:space="preserve"> look to benefit from the powers that the </w:t>
      </w:r>
      <w:proofErr w:type="gramStart"/>
      <w:r>
        <w:rPr>
          <w:rFonts w:cs="Arial"/>
          <w:sz w:val="24"/>
          <w:szCs w:val="24"/>
        </w:rPr>
        <w:t>Mayor</w:t>
      </w:r>
      <w:proofErr w:type="gramEnd"/>
      <w:r w:rsidRPr="007C580A">
        <w:rPr>
          <w:rFonts w:cs="Arial"/>
          <w:sz w:val="24"/>
          <w:szCs w:val="24"/>
        </w:rPr>
        <w:t xml:space="preserve"> has for delivering in this area, especially around Estates</w:t>
      </w:r>
    </w:p>
    <w:p w14:paraId="0B51759A" w14:textId="77777777" w:rsidR="00CA037A" w:rsidRDefault="00CA037A" w:rsidP="00CA037A">
      <w:pPr>
        <w:pStyle w:val="ListParagraph"/>
        <w:rPr>
          <w:rFonts w:cs="Arial"/>
          <w:sz w:val="24"/>
          <w:szCs w:val="24"/>
          <w:u w:val="single"/>
        </w:rPr>
      </w:pPr>
    </w:p>
    <w:p w14:paraId="2EA72096" w14:textId="2757F64A" w:rsidR="00604AAC" w:rsidRPr="00CA037A" w:rsidRDefault="00604AAC" w:rsidP="006A2F03">
      <w:pPr>
        <w:numPr>
          <w:ilvl w:val="1"/>
          <w:numId w:val="33"/>
        </w:numPr>
        <w:ind w:left="709" w:hanging="709"/>
        <w:jc w:val="both"/>
        <w:rPr>
          <w:rFonts w:cs="Arial"/>
          <w:sz w:val="24"/>
          <w:szCs w:val="24"/>
          <w:u w:val="single"/>
        </w:rPr>
      </w:pPr>
      <w:r w:rsidRPr="00CA037A">
        <w:rPr>
          <w:bCs/>
          <w:sz w:val="24"/>
          <w:szCs w:val="24"/>
        </w:rPr>
        <w:lastRenderedPageBreak/>
        <w:t>Capital expenditure in non-treasury investments</w:t>
      </w:r>
      <w:r w:rsidRPr="00CA037A">
        <w:rPr>
          <w:sz w:val="24"/>
          <w:szCs w:val="24"/>
        </w:rPr>
        <w:t xml:space="preserve"> can be for a service or a commercial purpose.  To meet service or Authority obligations capital investment could be in the form of loans or equity provided to external bodies, subsidiaries or joint </w:t>
      </w:r>
      <w:r w:rsidR="009E13A7" w:rsidRPr="00CA037A">
        <w:rPr>
          <w:sz w:val="24"/>
          <w:szCs w:val="24"/>
        </w:rPr>
        <w:t xml:space="preserve">ventures. </w:t>
      </w:r>
      <w:r w:rsidR="00B65A83" w:rsidRPr="00CA037A">
        <w:rPr>
          <w:sz w:val="24"/>
          <w:szCs w:val="24"/>
        </w:rPr>
        <w:t>To</w:t>
      </w:r>
      <w:r w:rsidRPr="00CA037A">
        <w:rPr>
          <w:sz w:val="24"/>
          <w:szCs w:val="24"/>
        </w:rPr>
        <w:t xml:space="preserve"> </w:t>
      </w:r>
      <w:r w:rsidRPr="008937B5">
        <w:rPr>
          <w:sz w:val="24"/>
          <w:szCs w:val="24"/>
        </w:rPr>
        <w:t xml:space="preserve">retain access to borrowing from the PWLB the </w:t>
      </w:r>
      <w:r w:rsidR="002171D5" w:rsidRPr="008937B5">
        <w:rPr>
          <w:sz w:val="24"/>
          <w:szCs w:val="24"/>
        </w:rPr>
        <w:t xml:space="preserve">Authority </w:t>
      </w:r>
      <w:r w:rsidRPr="008937B5">
        <w:rPr>
          <w:sz w:val="24"/>
          <w:szCs w:val="24"/>
        </w:rPr>
        <w:t xml:space="preserve">is required to certify </w:t>
      </w:r>
      <w:r w:rsidR="008937B5">
        <w:rPr>
          <w:sz w:val="24"/>
          <w:szCs w:val="24"/>
        </w:rPr>
        <w:t>that</w:t>
      </w:r>
      <w:r w:rsidRPr="008937B5">
        <w:rPr>
          <w:sz w:val="24"/>
          <w:szCs w:val="24"/>
        </w:rPr>
        <w:t xml:space="preserve"> capital plans do not</w:t>
      </w:r>
      <w:r w:rsidRPr="00CA037A">
        <w:rPr>
          <w:sz w:val="24"/>
          <w:szCs w:val="24"/>
        </w:rPr>
        <w:t xml:space="preserve"> include expenditure on new non-treasury commercial investments primarily for financial return.  However, where the capital spending decision is primarily related to the function of the </w:t>
      </w:r>
      <w:r w:rsidR="002171D5" w:rsidRPr="00CA037A">
        <w:rPr>
          <w:sz w:val="24"/>
          <w:szCs w:val="24"/>
        </w:rPr>
        <w:t>Authority</w:t>
      </w:r>
      <w:r w:rsidRPr="00CA037A">
        <w:rPr>
          <w:sz w:val="24"/>
          <w:szCs w:val="24"/>
        </w:rPr>
        <w:t xml:space="preserve"> and any financial returns are incidental then access is retained.</w:t>
      </w:r>
    </w:p>
    <w:p w14:paraId="5C99F9BA" w14:textId="77777777" w:rsidR="00604AAC" w:rsidRPr="001533EE" w:rsidRDefault="00604AAC" w:rsidP="00604AAC">
      <w:pPr>
        <w:pStyle w:val="subhead"/>
        <w:spacing w:before="0" w:after="0"/>
        <w:ind w:left="709"/>
        <w:jc w:val="left"/>
        <w:rPr>
          <w:b w:val="0"/>
          <w:sz w:val="24"/>
          <w:szCs w:val="24"/>
          <w:lang w:eastAsia="en-GB"/>
        </w:rPr>
      </w:pPr>
    </w:p>
    <w:p w14:paraId="1A0E293E" w14:textId="74102F62" w:rsidR="00604AAC" w:rsidRPr="001533EE" w:rsidRDefault="00604AAC" w:rsidP="00A310D5">
      <w:pPr>
        <w:ind w:left="709" w:right="176"/>
        <w:jc w:val="both"/>
        <w:rPr>
          <w:rFonts w:cs="Arial"/>
          <w:bCs/>
          <w:sz w:val="24"/>
          <w:szCs w:val="24"/>
          <w:lang w:val="en-US"/>
        </w:rPr>
      </w:pPr>
      <w:r w:rsidRPr="001533EE">
        <w:rPr>
          <w:rFonts w:cs="Arial"/>
          <w:bCs/>
          <w:sz w:val="24"/>
          <w:szCs w:val="24"/>
        </w:rPr>
        <w:t xml:space="preserve">All alternative investment activities are subject to approval in accordance with the Authority’s governance framework for decision making. </w:t>
      </w:r>
      <w:r w:rsidRPr="001533EE">
        <w:rPr>
          <w:rFonts w:cs="Arial"/>
          <w:bCs/>
          <w:sz w:val="24"/>
          <w:szCs w:val="24"/>
          <w:lang w:val="en-US"/>
        </w:rPr>
        <w:t xml:space="preserve">the time of writing the Capital Strategy, there are no alternative investment activities that count as capital expenditure being considered by the Authority. </w:t>
      </w:r>
    </w:p>
    <w:p w14:paraId="2BF6BD69" w14:textId="77777777" w:rsidR="009E0C14" w:rsidRPr="001533EE" w:rsidRDefault="009E0C14" w:rsidP="009E0C14">
      <w:pPr>
        <w:ind w:left="567" w:right="176"/>
        <w:jc w:val="both"/>
        <w:rPr>
          <w:rFonts w:cs="Arial"/>
          <w:bCs/>
          <w:sz w:val="24"/>
          <w:szCs w:val="24"/>
          <w:lang w:val="en-US"/>
        </w:rPr>
      </w:pPr>
    </w:p>
    <w:p w14:paraId="3796F7DC" w14:textId="75E3B572" w:rsidR="00604AAC" w:rsidRPr="001533EE" w:rsidRDefault="00604AAC" w:rsidP="00A310D5">
      <w:pPr>
        <w:pStyle w:val="subhead"/>
        <w:spacing w:before="0" w:after="0"/>
        <w:ind w:left="709"/>
        <w:rPr>
          <w:b w:val="0"/>
          <w:sz w:val="24"/>
          <w:szCs w:val="24"/>
          <w:lang w:eastAsia="en-GB"/>
        </w:rPr>
      </w:pPr>
      <w:r w:rsidRPr="001533EE">
        <w:rPr>
          <w:b w:val="0"/>
          <w:sz w:val="24"/>
          <w:szCs w:val="24"/>
          <w:lang w:eastAsia="en-GB"/>
        </w:rPr>
        <w:t>The Authorty recognises that achieving its capital ambitions will require consideration of alternative delivery structures and of all forms of funding including additional borrowing. Financial austerity has had a significant impact on affordability, however</w:t>
      </w:r>
      <w:r w:rsidR="008E416B">
        <w:rPr>
          <w:b w:val="0"/>
          <w:sz w:val="24"/>
          <w:szCs w:val="24"/>
          <w:lang w:eastAsia="en-GB"/>
        </w:rPr>
        <w:t>,</w:t>
      </w:r>
      <w:r w:rsidRPr="001533EE">
        <w:rPr>
          <w:b w:val="0"/>
          <w:sz w:val="24"/>
          <w:szCs w:val="24"/>
          <w:lang w:eastAsia="en-GB"/>
        </w:rPr>
        <w:t xml:space="preserve"> capital investment funded by borrowing will be undertaken in priority areas to meet capital ambitions if required, subject to at all times clearly understanding how the affordability of such expenditure can be managed over the longer term supported by a robust capital planning process, due diligence, business cases, risk management and monitoring.</w:t>
      </w:r>
    </w:p>
    <w:p w14:paraId="693EF0C2" w14:textId="77777777" w:rsidR="00604AAC" w:rsidRPr="001533EE" w:rsidRDefault="00604AAC" w:rsidP="00BC700D">
      <w:pPr>
        <w:pStyle w:val="subhead"/>
        <w:spacing w:before="0" w:after="0"/>
        <w:ind w:left="709" w:hanging="142"/>
        <w:rPr>
          <w:b w:val="0"/>
          <w:noProof w:val="0"/>
          <w:sz w:val="24"/>
          <w:szCs w:val="24"/>
          <w:lang w:val="en-US" w:eastAsia="en-GB"/>
        </w:rPr>
      </w:pPr>
    </w:p>
    <w:p w14:paraId="44D87714" w14:textId="0CBC9276" w:rsidR="00BC700D" w:rsidRPr="001533EE" w:rsidRDefault="008758FD" w:rsidP="00604AAC">
      <w:pPr>
        <w:pStyle w:val="subhead"/>
        <w:spacing w:before="0" w:after="0"/>
        <w:rPr>
          <w:b w:val="0"/>
          <w:noProof w:val="0"/>
          <w:sz w:val="24"/>
          <w:szCs w:val="24"/>
          <w:lang w:val="en-US" w:eastAsia="en-GB"/>
        </w:rPr>
      </w:pPr>
      <w:r>
        <w:rPr>
          <w:b w:val="0"/>
          <w:noProof w:val="0"/>
          <w:sz w:val="24"/>
          <w:szCs w:val="24"/>
          <w:lang w:val="en-US" w:eastAsia="en-GB"/>
        </w:rPr>
        <w:tab/>
      </w:r>
    </w:p>
    <w:p w14:paraId="69D22708" w14:textId="74DA9E7B" w:rsidR="00BC700D" w:rsidRPr="001533EE" w:rsidRDefault="00BC700D" w:rsidP="00BC700D">
      <w:pPr>
        <w:ind w:left="709" w:right="176" w:hanging="709"/>
        <w:jc w:val="both"/>
        <w:rPr>
          <w:rFonts w:cs="Arial"/>
          <w:b/>
          <w:sz w:val="24"/>
          <w:szCs w:val="24"/>
          <w:lang w:val="en-US"/>
        </w:rPr>
      </w:pPr>
      <w:r w:rsidRPr="001533EE">
        <w:rPr>
          <w:rFonts w:cs="Arial"/>
          <w:b/>
          <w:sz w:val="24"/>
          <w:szCs w:val="24"/>
          <w:lang w:val="en-US"/>
        </w:rPr>
        <w:t>3.0</w:t>
      </w:r>
      <w:r w:rsidRPr="001533EE">
        <w:rPr>
          <w:rFonts w:cs="Arial"/>
          <w:b/>
          <w:sz w:val="24"/>
          <w:szCs w:val="24"/>
          <w:lang w:val="en-US"/>
        </w:rPr>
        <w:tab/>
      </w:r>
      <w:r w:rsidRPr="002F1036">
        <w:rPr>
          <w:rFonts w:cs="Arial"/>
          <w:b/>
          <w:sz w:val="24"/>
          <w:szCs w:val="24"/>
          <w:lang w:val="en-US"/>
        </w:rPr>
        <w:t>AVAILABLE RESOURCES AND FUNDING PLANS</w:t>
      </w:r>
    </w:p>
    <w:p w14:paraId="3E305544" w14:textId="77777777" w:rsidR="00BC700D" w:rsidRPr="001533EE" w:rsidRDefault="00BC700D" w:rsidP="00BC700D">
      <w:pPr>
        <w:ind w:left="709" w:right="176" w:hanging="709"/>
        <w:jc w:val="both"/>
        <w:rPr>
          <w:rFonts w:cs="Arial"/>
          <w:sz w:val="24"/>
          <w:szCs w:val="24"/>
        </w:rPr>
      </w:pPr>
    </w:p>
    <w:p w14:paraId="79C885BC" w14:textId="6EAA6B4A" w:rsidR="00BC700D" w:rsidRPr="001533EE" w:rsidRDefault="00BC700D" w:rsidP="00BC700D">
      <w:pPr>
        <w:pStyle w:val="subhead"/>
        <w:spacing w:before="0" w:after="0"/>
        <w:ind w:left="709" w:hanging="709"/>
        <w:rPr>
          <w:b w:val="0"/>
          <w:noProof w:val="0"/>
          <w:sz w:val="24"/>
          <w:szCs w:val="24"/>
          <w:lang w:val="en-US" w:eastAsia="en-GB"/>
        </w:rPr>
      </w:pPr>
      <w:r w:rsidRPr="001533EE">
        <w:rPr>
          <w:b w:val="0"/>
          <w:bCs/>
          <w:sz w:val="24"/>
          <w:szCs w:val="24"/>
        </w:rPr>
        <w:t>3.1</w:t>
      </w:r>
      <w:r w:rsidRPr="001533EE">
        <w:rPr>
          <w:sz w:val="24"/>
          <w:szCs w:val="24"/>
        </w:rPr>
        <w:tab/>
      </w:r>
      <w:r w:rsidRPr="001533EE">
        <w:rPr>
          <w:b w:val="0"/>
          <w:noProof w:val="0"/>
          <w:sz w:val="24"/>
          <w:szCs w:val="24"/>
          <w:lang w:val="en-US" w:eastAsia="en-GB"/>
        </w:rPr>
        <w:t xml:space="preserve">The Authority has several funding streams available to support capital investment. The funding of the five-year capital investment </w:t>
      </w:r>
      <w:proofErr w:type="spellStart"/>
      <w:r w:rsidRPr="001533EE">
        <w:rPr>
          <w:b w:val="0"/>
          <w:noProof w:val="0"/>
          <w:sz w:val="24"/>
          <w:szCs w:val="24"/>
          <w:lang w:val="en-US" w:eastAsia="en-GB"/>
        </w:rPr>
        <w:t>programme</w:t>
      </w:r>
      <w:proofErr w:type="spellEnd"/>
      <w:r w:rsidRPr="001533EE">
        <w:rPr>
          <w:b w:val="0"/>
          <w:noProof w:val="0"/>
          <w:sz w:val="24"/>
          <w:szCs w:val="24"/>
          <w:lang w:val="en-US" w:eastAsia="en-GB"/>
        </w:rPr>
        <w:t xml:space="preserve"> is detailed in the Medium-Term Financial Plan.</w:t>
      </w:r>
    </w:p>
    <w:p w14:paraId="12EAE3BD" w14:textId="582F8321" w:rsidR="00BC700D" w:rsidRPr="001533EE" w:rsidRDefault="00BC700D" w:rsidP="00BC700D">
      <w:pPr>
        <w:pStyle w:val="subhead"/>
        <w:spacing w:before="0" w:after="0"/>
        <w:ind w:left="567" w:hanging="567"/>
        <w:rPr>
          <w:b w:val="0"/>
          <w:noProof w:val="0"/>
          <w:sz w:val="24"/>
          <w:szCs w:val="24"/>
          <w:lang w:val="en-US" w:eastAsia="en-GB"/>
        </w:rPr>
      </w:pPr>
    </w:p>
    <w:p w14:paraId="328BFA39" w14:textId="3B930F98" w:rsidR="00BC700D" w:rsidRPr="001533EE" w:rsidRDefault="00BC700D" w:rsidP="00BC700D">
      <w:pPr>
        <w:pStyle w:val="subhead"/>
        <w:spacing w:before="0" w:after="0"/>
        <w:ind w:left="709" w:hanging="709"/>
        <w:rPr>
          <w:sz w:val="24"/>
          <w:szCs w:val="24"/>
          <w:lang w:val="en-US"/>
        </w:rPr>
      </w:pPr>
      <w:r w:rsidRPr="001533EE">
        <w:rPr>
          <w:b w:val="0"/>
          <w:noProof w:val="0"/>
          <w:sz w:val="24"/>
          <w:szCs w:val="24"/>
          <w:lang w:val="en-US" w:eastAsia="en-GB"/>
        </w:rPr>
        <w:t xml:space="preserve">3.2    </w:t>
      </w:r>
      <w:r w:rsidRPr="001533EE">
        <w:rPr>
          <w:b w:val="0"/>
          <w:bCs/>
          <w:sz w:val="24"/>
          <w:szCs w:val="24"/>
          <w:lang w:val="en-US"/>
        </w:rPr>
        <w:t>When expenditure is classified as capital expenditure for capital financing purposes, this means that the Authority can finance that expenditure from any of the following sources</w:t>
      </w:r>
      <w:r w:rsidRPr="001533EE">
        <w:rPr>
          <w:sz w:val="24"/>
          <w:szCs w:val="24"/>
          <w:lang w:val="en-US"/>
        </w:rPr>
        <w:t>:</w:t>
      </w:r>
    </w:p>
    <w:p w14:paraId="3F0B2204" w14:textId="77777777" w:rsidR="00BC700D" w:rsidRPr="001533EE" w:rsidRDefault="00BC700D" w:rsidP="00BC700D">
      <w:pPr>
        <w:ind w:right="176"/>
        <w:jc w:val="both"/>
        <w:rPr>
          <w:rFonts w:cs="Arial"/>
          <w:sz w:val="24"/>
          <w:szCs w:val="24"/>
          <w:lang w:val="en-US"/>
        </w:rPr>
      </w:pPr>
    </w:p>
    <w:p w14:paraId="2924CDF8" w14:textId="449607D1" w:rsidR="00BC700D" w:rsidRDefault="00BC700D" w:rsidP="006A2F03">
      <w:pPr>
        <w:pStyle w:val="ListParagraph"/>
        <w:numPr>
          <w:ilvl w:val="0"/>
          <w:numId w:val="34"/>
        </w:numPr>
        <w:ind w:right="176"/>
        <w:jc w:val="both"/>
        <w:rPr>
          <w:rFonts w:cs="Arial"/>
          <w:sz w:val="24"/>
          <w:szCs w:val="24"/>
          <w:lang w:val="en-US"/>
        </w:rPr>
      </w:pPr>
      <w:r w:rsidRPr="007F22DA">
        <w:rPr>
          <w:rFonts w:cs="Arial"/>
          <w:b/>
          <w:bCs/>
          <w:sz w:val="24"/>
          <w:szCs w:val="24"/>
          <w:lang w:val="en-US"/>
        </w:rPr>
        <w:t xml:space="preserve">Capital grants and contributions </w:t>
      </w:r>
      <w:r w:rsidRPr="007F22DA">
        <w:rPr>
          <w:rFonts w:cs="Arial"/>
          <w:sz w:val="24"/>
          <w:szCs w:val="24"/>
          <w:lang w:val="en-US"/>
        </w:rPr>
        <w:t>- amounts awarded to the Authority in return for past or future compliance with certain stipulations.</w:t>
      </w:r>
    </w:p>
    <w:p w14:paraId="7D785829" w14:textId="77777777" w:rsidR="007F22DA" w:rsidRPr="007F22DA" w:rsidRDefault="007F22DA" w:rsidP="007F22DA">
      <w:pPr>
        <w:pStyle w:val="ListParagraph"/>
        <w:ind w:left="1129" w:right="176"/>
        <w:jc w:val="both"/>
        <w:rPr>
          <w:rFonts w:cs="Arial"/>
          <w:sz w:val="24"/>
          <w:szCs w:val="24"/>
          <w:lang w:val="en-US"/>
        </w:rPr>
      </w:pPr>
    </w:p>
    <w:p w14:paraId="51B8D4C7" w14:textId="498F24A5" w:rsidR="00BC700D" w:rsidRDefault="00BC700D" w:rsidP="006A2F03">
      <w:pPr>
        <w:pStyle w:val="ListParagraph"/>
        <w:numPr>
          <w:ilvl w:val="0"/>
          <w:numId w:val="34"/>
        </w:numPr>
        <w:ind w:right="176"/>
        <w:jc w:val="both"/>
        <w:rPr>
          <w:rFonts w:cs="Arial"/>
          <w:sz w:val="24"/>
          <w:szCs w:val="24"/>
          <w:lang w:val="en-US"/>
        </w:rPr>
      </w:pPr>
      <w:r w:rsidRPr="007F22DA">
        <w:rPr>
          <w:rFonts w:cs="Arial"/>
          <w:b/>
          <w:bCs/>
          <w:sz w:val="24"/>
          <w:szCs w:val="24"/>
          <w:lang w:val="en-US"/>
        </w:rPr>
        <w:t xml:space="preserve">Capital receipts </w:t>
      </w:r>
      <w:r w:rsidRPr="007F22DA">
        <w:rPr>
          <w:rFonts w:cs="Arial"/>
          <w:sz w:val="24"/>
          <w:szCs w:val="24"/>
          <w:lang w:val="en-US"/>
        </w:rPr>
        <w:t>- amounts generated from the sale of assets and from the repayment of capital loans, grants, or other financial assistance.</w:t>
      </w:r>
    </w:p>
    <w:p w14:paraId="38889E52" w14:textId="77777777" w:rsidR="007F22DA" w:rsidRPr="007F22DA" w:rsidRDefault="007F22DA" w:rsidP="007F22DA">
      <w:pPr>
        <w:pStyle w:val="ListParagraph"/>
        <w:rPr>
          <w:rFonts w:cs="Arial"/>
          <w:sz w:val="24"/>
          <w:szCs w:val="24"/>
          <w:lang w:val="en-US"/>
        </w:rPr>
      </w:pPr>
    </w:p>
    <w:p w14:paraId="1AC37199" w14:textId="5033841C" w:rsidR="00BC700D" w:rsidRDefault="00BC700D" w:rsidP="006A2F03">
      <w:pPr>
        <w:pStyle w:val="ListParagraph"/>
        <w:numPr>
          <w:ilvl w:val="0"/>
          <w:numId w:val="34"/>
        </w:numPr>
        <w:ind w:right="176"/>
        <w:jc w:val="both"/>
        <w:rPr>
          <w:rFonts w:cs="Arial"/>
          <w:sz w:val="24"/>
          <w:szCs w:val="24"/>
          <w:lang w:val="en-US"/>
        </w:rPr>
      </w:pPr>
      <w:r w:rsidRPr="007F22DA">
        <w:rPr>
          <w:rFonts w:cs="Arial"/>
          <w:b/>
          <w:bCs/>
          <w:sz w:val="24"/>
          <w:szCs w:val="24"/>
          <w:lang w:val="en-US"/>
        </w:rPr>
        <w:t xml:space="preserve">Revenue and reserve funding </w:t>
      </w:r>
      <w:r w:rsidRPr="007F22DA">
        <w:rPr>
          <w:rFonts w:cs="Arial"/>
          <w:sz w:val="24"/>
          <w:szCs w:val="24"/>
          <w:lang w:val="en-US"/>
        </w:rPr>
        <w:t xml:space="preserve">- amounts set aside from the revenue budget in </w:t>
      </w:r>
      <w:r w:rsidR="00A310D5" w:rsidRPr="007F22DA">
        <w:rPr>
          <w:rFonts w:cs="Arial"/>
          <w:sz w:val="24"/>
          <w:szCs w:val="24"/>
          <w:lang w:val="en-US"/>
        </w:rPr>
        <w:t xml:space="preserve">the Capital </w:t>
      </w:r>
      <w:r w:rsidRPr="007F22DA">
        <w:rPr>
          <w:rFonts w:cs="Arial"/>
          <w:sz w:val="24"/>
          <w:szCs w:val="24"/>
          <w:lang w:val="en-US"/>
        </w:rPr>
        <w:t xml:space="preserve">Reserve </w:t>
      </w:r>
      <w:r w:rsidR="00A310D5" w:rsidRPr="007F22DA">
        <w:rPr>
          <w:rFonts w:cs="Arial"/>
          <w:sz w:val="24"/>
          <w:szCs w:val="24"/>
          <w:lang w:val="en-US"/>
        </w:rPr>
        <w:t>to be used for f</w:t>
      </w:r>
      <w:r w:rsidRPr="007F22DA">
        <w:rPr>
          <w:rFonts w:cs="Arial"/>
          <w:sz w:val="24"/>
          <w:szCs w:val="24"/>
          <w:lang w:val="en-US"/>
        </w:rPr>
        <w:t xml:space="preserve">uture </w:t>
      </w:r>
      <w:r w:rsidR="00A310D5" w:rsidRPr="007F22DA">
        <w:rPr>
          <w:rFonts w:cs="Arial"/>
          <w:sz w:val="24"/>
          <w:szCs w:val="24"/>
          <w:lang w:val="en-US"/>
        </w:rPr>
        <w:t>c</w:t>
      </w:r>
      <w:r w:rsidRPr="007F22DA">
        <w:rPr>
          <w:rFonts w:cs="Arial"/>
          <w:sz w:val="24"/>
          <w:szCs w:val="24"/>
          <w:lang w:val="en-US"/>
        </w:rPr>
        <w:t xml:space="preserve">apital </w:t>
      </w:r>
      <w:r w:rsidR="00A310D5" w:rsidRPr="007F22DA">
        <w:rPr>
          <w:rFonts w:cs="Arial"/>
          <w:sz w:val="24"/>
          <w:szCs w:val="24"/>
          <w:lang w:val="en-US"/>
        </w:rPr>
        <w:t>f</w:t>
      </w:r>
      <w:r w:rsidRPr="007F22DA">
        <w:rPr>
          <w:rFonts w:cs="Arial"/>
          <w:sz w:val="24"/>
          <w:szCs w:val="24"/>
          <w:lang w:val="en-US"/>
        </w:rPr>
        <w:t>unding.</w:t>
      </w:r>
    </w:p>
    <w:p w14:paraId="31460EB6" w14:textId="77777777" w:rsidR="007F22DA" w:rsidRPr="007F22DA" w:rsidRDefault="007F22DA" w:rsidP="007F22DA">
      <w:pPr>
        <w:pStyle w:val="ListParagraph"/>
        <w:rPr>
          <w:rFonts w:cs="Arial"/>
          <w:sz w:val="24"/>
          <w:szCs w:val="24"/>
          <w:lang w:val="en-US"/>
        </w:rPr>
      </w:pPr>
    </w:p>
    <w:p w14:paraId="615C3DDD" w14:textId="6985C250" w:rsidR="00BC700D" w:rsidRPr="007F22DA" w:rsidRDefault="00BC700D" w:rsidP="006A2F03">
      <w:pPr>
        <w:pStyle w:val="ListParagraph"/>
        <w:numPr>
          <w:ilvl w:val="0"/>
          <w:numId w:val="34"/>
        </w:numPr>
        <w:ind w:right="176"/>
        <w:jc w:val="both"/>
        <w:rPr>
          <w:rFonts w:cs="Arial"/>
          <w:sz w:val="24"/>
          <w:szCs w:val="24"/>
          <w:lang w:val="en-US"/>
        </w:rPr>
      </w:pPr>
      <w:r w:rsidRPr="007F22DA">
        <w:rPr>
          <w:rFonts w:cs="Arial"/>
          <w:b/>
          <w:bCs/>
          <w:sz w:val="24"/>
          <w:szCs w:val="24"/>
          <w:lang w:val="en-US"/>
        </w:rPr>
        <w:t xml:space="preserve">Prudential Borrowing </w:t>
      </w:r>
      <w:r w:rsidRPr="007F22DA">
        <w:rPr>
          <w:rFonts w:cs="Arial"/>
          <w:sz w:val="24"/>
          <w:szCs w:val="24"/>
          <w:lang w:val="en-US"/>
        </w:rPr>
        <w:t xml:space="preserve">- amounts that the Authority does not need to fund immediately from cash </w:t>
      </w:r>
      <w:proofErr w:type="gramStart"/>
      <w:r w:rsidRPr="007F22DA">
        <w:rPr>
          <w:rFonts w:cs="Arial"/>
          <w:sz w:val="24"/>
          <w:szCs w:val="24"/>
          <w:lang w:val="en-US"/>
        </w:rPr>
        <w:t>resources, but</w:t>
      </w:r>
      <w:proofErr w:type="gramEnd"/>
      <w:r w:rsidRPr="007F22DA">
        <w:rPr>
          <w:rFonts w:cs="Arial"/>
          <w:sz w:val="24"/>
          <w:szCs w:val="24"/>
          <w:lang w:val="en-US"/>
        </w:rPr>
        <w:t xml:space="preserve"> instead charges to the revenue budget over several years into the future.</w:t>
      </w:r>
    </w:p>
    <w:p w14:paraId="71BEF3D4" w14:textId="77777777" w:rsidR="00D635A0" w:rsidRDefault="00D635A0" w:rsidP="00D635A0">
      <w:pPr>
        <w:pStyle w:val="ListParagraph"/>
        <w:ind w:left="1134" w:right="176"/>
        <w:jc w:val="both"/>
        <w:rPr>
          <w:rFonts w:cs="Arial"/>
          <w:sz w:val="24"/>
          <w:szCs w:val="24"/>
          <w:lang w:val="en-US"/>
        </w:rPr>
      </w:pPr>
    </w:p>
    <w:p w14:paraId="0235885D" w14:textId="4EAF2669" w:rsidR="00D635A0" w:rsidRPr="00CA037A" w:rsidRDefault="00D635A0" w:rsidP="006A2F03">
      <w:pPr>
        <w:pStyle w:val="ListParagraph"/>
        <w:numPr>
          <w:ilvl w:val="1"/>
          <w:numId w:val="21"/>
        </w:numPr>
        <w:ind w:left="1134" w:right="176" w:hanging="567"/>
        <w:jc w:val="both"/>
        <w:rPr>
          <w:rFonts w:cs="Arial"/>
          <w:sz w:val="24"/>
          <w:szCs w:val="24"/>
          <w:lang w:val="en-US"/>
        </w:rPr>
      </w:pPr>
      <w:r w:rsidRPr="00CA037A">
        <w:rPr>
          <w:rFonts w:cs="Arial"/>
          <w:b/>
          <w:bCs/>
          <w:sz w:val="24"/>
          <w:szCs w:val="24"/>
          <w:lang w:val="en-US"/>
        </w:rPr>
        <w:t xml:space="preserve">Leasing </w:t>
      </w:r>
      <w:r w:rsidRPr="00CA037A">
        <w:rPr>
          <w:rFonts w:cs="Arial"/>
          <w:sz w:val="24"/>
          <w:szCs w:val="24"/>
          <w:lang w:val="en-US"/>
        </w:rPr>
        <w:t>-</w:t>
      </w:r>
      <w:r w:rsidRPr="00CA037A">
        <w:rPr>
          <w:rFonts w:cs="Arial"/>
          <w:b/>
          <w:bCs/>
          <w:sz w:val="24"/>
          <w:szCs w:val="24"/>
          <w:lang w:val="en-US"/>
        </w:rPr>
        <w:t xml:space="preserve"> </w:t>
      </w:r>
      <w:r w:rsidRPr="00CA037A">
        <w:rPr>
          <w:rFonts w:cs="Arial"/>
          <w:sz w:val="24"/>
          <w:szCs w:val="24"/>
        </w:rPr>
        <w:t xml:space="preserve">The Authority may enter into finance leasing agreements to fund capital expenditure on behalf of services. However, a full option appraisal and comparison of other funding sources must be made, and the Deputy S73 Officer must be certain that leasing provides the best value for money method of funding the scheme. Under the Prudential Code finance leasing agreements </w:t>
      </w:r>
      <w:r w:rsidRPr="00CA037A">
        <w:rPr>
          <w:rFonts w:cs="Arial"/>
          <w:sz w:val="24"/>
          <w:szCs w:val="24"/>
        </w:rPr>
        <w:lastRenderedPageBreak/>
        <w:t>are counted against the overall borrowing levels when looking at the prudence of the Authority’s borrowing.</w:t>
      </w:r>
    </w:p>
    <w:p w14:paraId="233FDC25" w14:textId="77777777" w:rsidR="00D635A0" w:rsidRPr="00CA037A" w:rsidRDefault="00D635A0" w:rsidP="00D635A0">
      <w:pPr>
        <w:pStyle w:val="ListParagraph"/>
        <w:rPr>
          <w:rFonts w:cs="Arial"/>
          <w:sz w:val="24"/>
          <w:szCs w:val="24"/>
          <w:lang w:val="en-US"/>
        </w:rPr>
      </w:pPr>
    </w:p>
    <w:p w14:paraId="34CBFF95" w14:textId="74904F18" w:rsidR="00D635A0" w:rsidRPr="00115282" w:rsidRDefault="00D635A0" w:rsidP="006A2F03">
      <w:pPr>
        <w:pStyle w:val="ListParagraph"/>
        <w:numPr>
          <w:ilvl w:val="1"/>
          <w:numId w:val="21"/>
        </w:numPr>
        <w:ind w:left="1134" w:right="176" w:hanging="567"/>
        <w:jc w:val="both"/>
        <w:rPr>
          <w:rFonts w:cs="Arial"/>
          <w:sz w:val="24"/>
          <w:szCs w:val="24"/>
          <w:lang w:val="en-US"/>
        </w:rPr>
      </w:pPr>
      <w:r w:rsidRPr="00CA037A">
        <w:rPr>
          <w:b/>
          <w:bCs/>
          <w:sz w:val="24"/>
          <w:szCs w:val="24"/>
        </w:rPr>
        <w:t xml:space="preserve">Other long-term liabilities - PFI </w:t>
      </w:r>
      <w:r w:rsidRPr="00CA037A">
        <w:rPr>
          <w:rFonts w:cs="Arial"/>
          <w:sz w:val="24"/>
          <w:szCs w:val="24"/>
        </w:rPr>
        <w:t xml:space="preserve">- may </w:t>
      </w:r>
      <w:proofErr w:type="gramStart"/>
      <w:r w:rsidRPr="00CA037A">
        <w:rPr>
          <w:rFonts w:cs="Arial"/>
          <w:sz w:val="24"/>
          <w:szCs w:val="24"/>
        </w:rPr>
        <w:t>enter into</w:t>
      </w:r>
      <w:proofErr w:type="gramEnd"/>
      <w:r w:rsidRPr="00CA037A">
        <w:rPr>
          <w:rFonts w:cs="Arial"/>
          <w:sz w:val="24"/>
          <w:szCs w:val="24"/>
        </w:rPr>
        <w:t xml:space="preserve"> PFI agreements on behalf of services. These will be considered following due diligence over the life of the asset, balancing the financial and non-financial benefits against the risks compared to the Authority owning and delivering such assets and services itself.  The Deputy S73 Officer must be certain that the </w:t>
      </w:r>
      <w:r w:rsidRPr="008937B5">
        <w:rPr>
          <w:rFonts w:cs="Arial"/>
          <w:sz w:val="24"/>
          <w:szCs w:val="24"/>
        </w:rPr>
        <w:t>PFI arrangement provides the best value for money method of delivering the scheme. Under the Prudential Code</w:t>
      </w:r>
      <w:r w:rsidR="008937B5" w:rsidRPr="008937B5">
        <w:rPr>
          <w:rFonts w:cs="Arial"/>
          <w:sz w:val="24"/>
          <w:szCs w:val="24"/>
        </w:rPr>
        <w:t>,</w:t>
      </w:r>
      <w:r w:rsidRPr="008937B5">
        <w:rPr>
          <w:rFonts w:cs="Arial"/>
          <w:sz w:val="24"/>
          <w:szCs w:val="24"/>
        </w:rPr>
        <w:t xml:space="preserve"> PFI obligations are counted against the overall borrowing levels when looking</w:t>
      </w:r>
      <w:r w:rsidRPr="00CA037A">
        <w:rPr>
          <w:rFonts w:cs="Arial"/>
          <w:sz w:val="24"/>
          <w:szCs w:val="24"/>
        </w:rPr>
        <w:t xml:space="preserve"> at the prudence of the Council’s borrowing</w:t>
      </w:r>
      <w:r w:rsidR="00CA037A">
        <w:rPr>
          <w:rFonts w:cs="Arial"/>
          <w:sz w:val="24"/>
          <w:szCs w:val="24"/>
        </w:rPr>
        <w:t>.</w:t>
      </w:r>
    </w:p>
    <w:p w14:paraId="710DF3B0" w14:textId="6E10C425" w:rsidR="00E41693" w:rsidRDefault="00E41693" w:rsidP="00E41693">
      <w:pPr>
        <w:ind w:right="176"/>
        <w:jc w:val="both"/>
        <w:rPr>
          <w:rFonts w:cs="Arial"/>
          <w:sz w:val="24"/>
          <w:szCs w:val="24"/>
          <w:lang w:val="en-US"/>
        </w:rPr>
      </w:pPr>
    </w:p>
    <w:p w14:paraId="46B7A8FB" w14:textId="20E91B0D" w:rsidR="00BC700D" w:rsidRPr="00E41693" w:rsidRDefault="00E41693" w:rsidP="007F22DA">
      <w:pPr>
        <w:tabs>
          <w:tab w:val="left" w:pos="567"/>
        </w:tabs>
        <w:ind w:left="709" w:right="176" w:hanging="709"/>
        <w:jc w:val="both"/>
        <w:rPr>
          <w:rFonts w:cs="Arial"/>
          <w:sz w:val="24"/>
          <w:szCs w:val="24"/>
          <w:lang w:val="en-US"/>
        </w:rPr>
      </w:pPr>
      <w:r>
        <w:rPr>
          <w:rFonts w:cs="Arial"/>
          <w:sz w:val="24"/>
          <w:szCs w:val="24"/>
          <w:lang w:val="en-US"/>
        </w:rPr>
        <w:t>3.3</w:t>
      </w:r>
      <w:r>
        <w:rPr>
          <w:rFonts w:cs="Arial"/>
          <w:sz w:val="24"/>
          <w:szCs w:val="24"/>
          <w:lang w:val="en-US"/>
        </w:rPr>
        <w:tab/>
      </w:r>
      <w:r w:rsidR="00BC700D" w:rsidRPr="001533EE">
        <w:rPr>
          <w:rFonts w:cs="Arial"/>
          <w:b/>
          <w:sz w:val="24"/>
          <w:szCs w:val="24"/>
          <w:lang w:val="en-US"/>
        </w:rPr>
        <w:t xml:space="preserve">Capital Financing Requirement and Borrowing </w:t>
      </w:r>
    </w:p>
    <w:p w14:paraId="695A05A7" w14:textId="77777777" w:rsidR="00BC700D" w:rsidRPr="001533EE" w:rsidRDefault="00BC700D" w:rsidP="00BC700D">
      <w:pPr>
        <w:ind w:right="176"/>
        <w:jc w:val="both"/>
        <w:rPr>
          <w:rFonts w:cs="Arial"/>
          <w:b/>
          <w:sz w:val="24"/>
          <w:szCs w:val="24"/>
          <w:lang w:val="en-US"/>
        </w:rPr>
      </w:pPr>
    </w:p>
    <w:p w14:paraId="3D97D506" w14:textId="0D473B23" w:rsidR="00BC700D" w:rsidRPr="001533EE" w:rsidRDefault="00BC700D" w:rsidP="00BC700D">
      <w:pPr>
        <w:ind w:left="567" w:right="176"/>
        <w:jc w:val="both"/>
        <w:rPr>
          <w:rFonts w:cs="Arial"/>
          <w:sz w:val="24"/>
          <w:szCs w:val="24"/>
          <w:lang w:val="en-US"/>
        </w:rPr>
      </w:pPr>
      <w:r w:rsidRPr="001533EE">
        <w:rPr>
          <w:rFonts w:cs="Arial"/>
          <w:sz w:val="24"/>
          <w:szCs w:val="24"/>
          <w:lang w:val="en-US"/>
        </w:rPr>
        <w:t>The Authority is required to comply with the CIPFA Prudential Code for Capital Finance in Local Authorities (referred to as the ‘Prudential Code’) when assessing the affordability, prudence, and sustainability of its capital investment plans.</w:t>
      </w:r>
      <w:r w:rsidR="007059EA" w:rsidRPr="001533EE">
        <w:rPr>
          <w:rFonts w:cs="Arial"/>
          <w:sz w:val="24"/>
          <w:szCs w:val="24"/>
          <w:lang w:val="en-US"/>
        </w:rPr>
        <w:t xml:space="preserve"> </w:t>
      </w:r>
      <w:r w:rsidR="007059EA" w:rsidRPr="001533EE">
        <w:rPr>
          <w:rFonts w:eastAsia="Arial" w:cs="Arial"/>
          <w:bCs/>
          <w:spacing w:val="1"/>
          <w:sz w:val="24"/>
          <w:szCs w:val="24"/>
          <w:lang w:val="en-US"/>
        </w:rPr>
        <w:t>It is only permitted to borrow externally (including via credit arrangements) up to the level implied by its Capital Financing Requirement (CFR).</w:t>
      </w:r>
    </w:p>
    <w:p w14:paraId="247B667F" w14:textId="2D17D108" w:rsidR="00321B6C" w:rsidRPr="001533EE" w:rsidRDefault="00321B6C" w:rsidP="00BC700D">
      <w:pPr>
        <w:ind w:left="567" w:right="176"/>
        <w:jc w:val="both"/>
        <w:rPr>
          <w:rFonts w:cs="Arial"/>
          <w:sz w:val="24"/>
          <w:szCs w:val="24"/>
          <w:lang w:val="en-US"/>
        </w:rPr>
      </w:pPr>
    </w:p>
    <w:p w14:paraId="61F759F3" w14:textId="0EBE764C" w:rsidR="00321B6C" w:rsidRPr="001533EE" w:rsidRDefault="00321B6C" w:rsidP="00321B6C">
      <w:pPr>
        <w:overflowPunct w:val="0"/>
        <w:autoSpaceDE w:val="0"/>
        <w:autoSpaceDN w:val="0"/>
        <w:adjustRightInd w:val="0"/>
        <w:ind w:left="567"/>
        <w:contextualSpacing/>
        <w:jc w:val="both"/>
        <w:rPr>
          <w:rFonts w:cs="Arial"/>
          <w:sz w:val="24"/>
          <w:szCs w:val="24"/>
          <w:lang w:val="en-US"/>
        </w:rPr>
      </w:pPr>
      <w:r w:rsidRPr="001533EE">
        <w:rPr>
          <w:rFonts w:cs="Arial"/>
          <w:sz w:val="24"/>
          <w:szCs w:val="24"/>
          <w:lang w:val="en-US"/>
        </w:rPr>
        <w:t xml:space="preserve">Where capital expenditure has been incurred without a resource to pay for it, i.e. when proposed to be paid for by supported or unsupported borrowing, this will increase what is termed the Authority’s Capital Financing Requirement (CFR) which is its underlying need to borrow.  The amount of borrowing required will be considered along with the Authority’s cashflow position.  </w:t>
      </w:r>
    </w:p>
    <w:p w14:paraId="386D7339" w14:textId="77777777" w:rsidR="00BC700D" w:rsidRPr="001533EE" w:rsidRDefault="00BC700D" w:rsidP="00BC700D">
      <w:pPr>
        <w:ind w:right="176"/>
        <w:jc w:val="both"/>
        <w:rPr>
          <w:rFonts w:cs="Arial"/>
          <w:sz w:val="24"/>
          <w:szCs w:val="24"/>
          <w:lang w:val="en-US"/>
        </w:rPr>
      </w:pPr>
    </w:p>
    <w:p w14:paraId="59EA3463" w14:textId="43141D5B" w:rsidR="00BC700D" w:rsidRPr="001533EE" w:rsidRDefault="00BC700D" w:rsidP="00BC700D">
      <w:pPr>
        <w:ind w:left="567" w:right="176"/>
        <w:jc w:val="both"/>
        <w:rPr>
          <w:rFonts w:cs="Arial"/>
          <w:sz w:val="24"/>
          <w:szCs w:val="24"/>
          <w:lang w:val="en-US"/>
        </w:rPr>
      </w:pPr>
      <w:r w:rsidRPr="001533EE">
        <w:rPr>
          <w:rFonts w:cs="Arial"/>
          <w:sz w:val="24"/>
          <w:szCs w:val="24"/>
          <w:lang w:val="en-US"/>
        </w:rPr>
        <w:t xml:space="preserve">When capital expenditure is funded from borrowing, this does not result in expenditure being funded immediately from cash resources but is instead charged to the revenue budget over several years. It does this in accordance with its policy for the repayment of debt, which is set out in </w:t>
      </w:r>
      <w:r w:rsidR="00604AAC" w:rsidRPr="001533EE">
        <w:rPr>
          <w:rFonts w:cs="Arial"/>
          <w:b/>
          <w:sz w:val="24"/>
          <w:szCs w:val="24"/>
          <w:lang w:val="en-US"/>
        </w:rPr>
        <w:t>Annex 1 - Section</w:t>
      </w:r>
      <w:r w:rsidRPr="001533EE">
        <w:rPr>
          <w:rFonts w:cs="Arial"/>
          <w:b/>
          <w:sz w:val="24"/>
          <w:szCs w:val="24"/>
          <w:lang w:val="en-US"/>
        </w:rPr>
        <w:t xml:space="preserve"> 2.</w:t>
      </w:r>
    </w:p>
    <w:p w14:paraId="618C339D" w14:textId="77777777" w:rsidR="00BC700D" w:rsidRPr="001533EE" w:rsidRDefault="00BC700D" w:rsidP="00BC700D">
      <w:pPr>
        <w:ind w:right="176"/>
        <w:jc w:val="both"/>
        <w:rPr>
          <w:rFonts w:cs="Arial"/>
          <w:sz w:val="24"/>
          <w:szCs w:val="24"/>
          <w:lang w:val="en-US"/>
        </w:rPr>
      </w:pPr>
    </w:p>
    <w:p w14:paraId="7704626D" w14:textId="11F4CC3D" w:rsidR="00BC700D" w:rsidRPr="007F22DA" w:rsidRDefault="002D5500" w:rsidP="007F22DA">
      <w:pPr>
        <w:overflowPunct w:val="0"/>
        <w:autoSpaceDE w:val="0"/>
        <w:autoSpaceDN w:val="0"/>
        <w:adjustRightInd w:val="0"/>
        <w:ind w:left="567"/>
        <w:contextualSpacing/>
        <w:jc w:val="both"/>
        <w:rPr>
          <w:rFonts w:cs="Arial"/>
          <w:sz w:val="24"/>
          <w:szCs w:val="24"/>
        </w:rPr>
      </w:pPr>
      <w:r w:rsidRPr="001533EE">
        <w:rPr>
          <w:rFonts w:cs="Arial"/>
          <w:sz w:val="24"/>
          <w:szCs w:val="24"/>
        </w:rPr>
        <w:t xml:space="preserve">The CFR for the forthcoming financial year and the following two financial years are set out in </w:t>
      </w:r>
      <w:r w:rsidR="00321B6C" w:rsidRPr="001533EE">
        <w:rPr>
          <w:rFonts w:cs="Arial"/>
          <w:b/>
          <w:bCs/>
          <w:sz w:val="24"/>
          <w:szCs w:val="24"/>
          <w:lang w:val="en-US"/>
        </w:rPr>
        <w:t>Appendix 1</w:t>
      </w:r>
      <w:r w:rsidR="00321B6C" w:rsidRPr="001533EE">
        <w:rPr>
          <w:rFonts w:cs="Arial"/>
          <w:sz w:val="24"/>
          <w:szCs w:val="24"/>
          <w:lang w:val="en-US"/>
        </w:rPr>
        <w:t>.</w:t>
      </w:r>
    </w:p>
    <w:p w14:paraId="30A848F3" w14:textId="77777777" w:rsidR="007059EA" w:rsidRPr="001533EE" w:rsidRDefault="007059EA" w:rsidP="00B42784">
      <w:pPr>
        <w:ind w:right="176"/>
        <w:jc w:val="both"/>
        <w:rPr>
          <w:rFonts w:cs="Arial"/>
          <w:sz w:val="24"/>
          <w:szCs w:val="24"/>
          <w:highlight w:val="yellow"/>
          <w:lang w:val="en-US"/>
        </w:rPr>
      </w:pPr>
    </w:p>
    <w:p w14:paraId="2D8E252C" w14:textId="34DFAA95" w:rsidR="00321B6C" w:rsidRPr="001533EE" w:rsidRDefault="00321B6C" w:rsidP="00321B6C">
      <w:pPr>
        <w:pStyle w:val="subhead"/>
        <w:spacing w:before="0" w:after="0"/>
        <w:ind w:left="567" w:hanging="567"/>
        <w:rPr>
          <w:b w:val="0"/>
          <w:sz w:val="24"/>
          <w:szCs w:val="24"/>
          <w:lang w:eastAsia="en-GB"/>
        </w:rPr>
      </w:pPr>
      <w:r w:rsidRPr="001533EE">
        <w:rPr>
          <w:b w:val="0"/>
          <w:sz w:val="24"/>
          <w:szCs w:val="24"/>
          <w:lang w:eastAsia="en-GB"/>
        </w:rPr>
        <w:t>3.</w:t>
      </w:r>
      <w:r w:rsidR="00E41693">
        <w:rPr>
          <w:b w:val="0"/>
          <w:sz w:val="24"/>
          <w:szCs w:val="24"/>
          <w:lang w:eastAsia="en-GB"/>
        </w:rPr>
        <w:t>4</w:t>
      </w:r>
      <w:r w:rsidRPr="001533EE">
        <w:rPr>
          <w:bCs/>
          <w:sz w:val="24"/>
          <w:szCs w:val="24"/>
          <w:lang w:eastAsia="en-GB"/>
        </w:rPr>
        <w:tab/>
        <w:t>Assessing affordability</w:t>
      </w:r>
      <w:r w:rsidRPr="001533EE">
        <w:rPr>
          <w:b w:val="0"/>
          <w:sz w:val="24"/>
          <w:szCs w:val="24"/>
          <w:lang w:eastAsia="en-GB"/>
        </w:rPr>
        <w:t xml:space="preserve"> - the revenue cost implications of Capital investment undertaken historically and the proposed Capital Plan form an integral part of the </w:t>
      </w:r>
      <w:r w:rsidR="002171D5" w:rsidRPr="001533EE">
        <w:rPr>
          <w:b w:val="0"/>
          <w:sz w:val="24"/>
          <w:szCs w:val="24"/>
          <w:lang w:eastAsia="en-GB"/>
        </w:rPr>
        <w:t>Authority</w:t>
      </w:r>
      <w:r w:rsidRPr="001533EE">
        <w:rPr>
          <w:b w:val="0"/>
          <w:sz w:val="24"/>
          <w:szCs w:val="24"/>
          <w:lang w:eastAsia="en-GB"/>
        </w:rPr>
        <w:t>’s revenue budget and Medium-Term Financial Plan. The revenue budget impact of capital schemes for Council Tax and Rent payers include:</w:t>
      </w:r>
    </w:p>
    <w:p w14:paraId="4134E6A5" w14:textId="77777777" w:rsidR="00321B6C" w:rsidRPr="001533EE" w:rsidRDefault="00321B6C" w:rsidP="00321B6C">
      <w:pPr>
        <w:pStyle w:val="subhead"/>
        <w:spacing w:before="0" w:after="0"/>
        <w:ind w:left="567" w:hanging="567"/>
        <w:rPr>
          <w:b w:val="0"/>
          <w:sz w:val="24"/>
          <w:szCs w:val="24"/>
          <w:lang w:eastAsia="en-GB"/>
        </w:rPr>
      </w:pPr>
    </w:p>
    <w:p w14:paraId="258123BB" w14:textId="77777777" w:rsidR="00321B6C" w:rsidRPr="001533EE" w:rsidRDefault="00321B6C" w:rsidP="006A2F03">
      <w:pPr>
        <w:pStyle w:val="subhead"/>
        <w:numPr>
          <w:ilvl w:val="0"/>
          <w:numId w:val="29"/>
        </w:numPr>
        <w:spacing w:before="0" w:after="0"/>
        <w:ind w:left="1134" w:hanging="567"/>
        <w:rPr>
          <w:b w:val="0"/>
          <w:sz w:val="24"/>
          <w:szCs w:val="24"/>
          <w:lang w:eastAsia="en-GB"/>
        </w:rPr>
      </w:pPr>
      <w:r w:rsidRPr="001533EE">
        <w:rPr>
          <w:b w:val="0"/>
          <w:sz w:val="24"/>
          <w:szCs w:val="24"/>
          <w:lang w:eastAsia="en-GB"/>
        </w:rPr>
        <w:t>The costs of operating/maintaining new assets</w:t>
      </w:r>
    </w:p>
    <w:p w14:paraId="664483F7" w14:textId="52B5FE10" w:rsidR="00321B6C" w:rsidRPr="001533EE" w:rsidRDefault="00321B6C" w:rsidP="006A2F03">
      <w:pPr>
        <w:pStyle w:val="subhead"/>
        <w:numPr>
          <w:ilvl w:val="0"/>
          <w:numId w:val="29"/>
        </w:numPr>
        <w:spacing w:before="0" w:after="0"/>
        <w:ind w:left="1134" w:hanging="567"/>
        <w:rPr>
          <w:b w:val="0"/>
          <w:sz w:val="24"/>
          <w:szCs w:val="24"/>
          <w:lang w:eastAsia="en-GB"/>
        </w:rPr>
      </w:pPr>
      <w:r w:rsidRPr="001533EE">
        <w:rPr>
          <w:b w:val="0"/>
          <w:sz w:val="24"/>
          <w:szCs w:val="24"/>
          <w:lang w:eastAsia="en-GB"/>
        </w:rPr>
        <w:t>The capital financing costs of servicing any borrowing required to pay for investment (interest and the approach to making prudent provision for repayment of capital investment paid for by borrowing - MRP)</w:t>
      </w:r>
    </w:p>
    <w:p w14:paraId="6D877C0F" w14:textId="77777777" w:rsidR="00321B6C" w:rsidRPr="001533EE" w:rsidRDefault="00321B6C" w:rsidP="006A2F03">
      <w:pPr>
        <w:pStyle w:val="subhead"/>
        <w:numPr>
          <w:ilvl w:val="0"/>
          <w:numId w:val="29"/>
        </w:numPr>
        <w:spacing w:before="0" w:after="0"/>
        <w:ind w:left="1134" w:hanging="567"/>
        <w:rPr>
          <w:b w:val="0"/>
          <w:sz w:val="24"/>
          <w:szCs w:val="24"/>
          <w:lang w:eastAsia="en-GB"/>
        </w:rPr>
      </w:pPr>
      <w:r w:rsidRPr="001533EE">
        <w:rPr>
          <w:b w:val="0"/>
          <w:sz w:val="24"/>
          <w:szCs w:val="24"/>
          <w:lang w:eastAsia="en-GB"/>
        </w:rPr>
        <w:t>The revenue costs of preparing and delivering projects</w:t>
      </w:r>
    </w:p>
    <w:p w14:paraId="01AF49C8" w14:textId="77777777" w:rsidR="00321B6C" w:rsidRPr="001533EE" w:rsidRDefault="00321B6C" w:rsidP="006A2F03">
      <w:pPr>
        <w:pStyle w:val="subhead"/>
        <w:numPr>
          <w:ilvl w:val="0"/>
          <w:numId w:val="29"/>
        </w:numPr>
        <w:spacing w:before="0" w:after="0"/>
        <w:ind w:left="1134" w:hanging="567"/>
        <w:rPr>
          <w:b w:val="0"/>
          <w:sz w:val="24"/>
          <w:szCs w:val="24"/>
          <w:lang w:eastAsia="en-GB"/>
        </w:rPr>
      </w:pPr>
      <w:r w:rsidRPr="001533EE">
        <w:rPr>
          <w:b w:val="0"/>
          <w:sz w:val="24"/>
          <w:szCs w:val="24"/>
          <w:lang w:eastAsia="en-GB"/>
        </w:rPr>
        <w:t>Abortive costs required to be charged to revenue budgets if schemes do not proceed.</w:t>
      </w:r>
    </w:p>
    <w:p w14:paraId="3CAE3AB9" w14:textId="77777777" w:rsidR="00321B6C" w:rsidRPr="001533EE" w:rsidRDefault="00321B6C" w:rsidP="00321B6C">
      <w:pPr>
        <w:pStyle w:val="subhead"/>
        <w:spacing w:before="0" w:after="0"/>
        <w:ind w:left="360" w:hanging="360"/>
        <w:rPr>
          <w:b w:val="0"/>
          <w:sz w:val="24"/>
          <w:szCs w:val="24"/>
          <w:lang w:eastAsia="en-GB"/>
        </w:rPr>
      </w:pPr>
    </w:p>
    <w:p w14:paraId="030FA67A" w14:textId="004ED84C" w:rsidR="00321B6C" w:rsidRPr="001533EE" w:rsidRDefault="00321B6C" w:rsidP="00321B6C">
      <w:pPr>
        <w:pStyle w:val="subhead"/>
        <w:spacing w:before="0" w:after="0"/>
        <w:ind w:left="567"/>
        <w:rPr>
          <w:b w:val="0"/>
          <w:sz w:val="24"/>
          <w:szCs w:val="24"/>
          <w:lang w:eastAsia="en-GB"/>
        </w:rPr>
      </w:pPr>
      <w:r w:rsidRPr="001533EE">
        <w:rPr>
          <w:b w:val="0"/>
          <w:sz w:val="24"/>
          <w:szCs w:val="24"/>
          <w:lang w:eastAsia="en-GB"/>
        </w:rPr>
        <w:t xml:space="preserve">Some or all of the costs of investment may be offset by financial and non-financial benefits such as income, cost avoidance and importantly improved outcomes for residents. Where capital investment has been undertaken by borrowing, the Authority is required to spread the cost of that investment over future years’ revenue budgets. </w:t>
      </w:r>
      <w:r w:rsidRPr="001533EE">
        <w:rPr>
          <w:b w:val="0"/>
          <w:sz w:val="24"/>
          <w:szCs w:val="24"/>
          <w:lang w:eastAsia="en-GB"/>
        </w:rPr>
        <w:lastRenderedPageBreak/>
        <w:t>This is in accordance with its MRP Policy for the prudent repayment of capital expenditure which is approved as part of the budget proposals each year.</w:t>
      </w:r>
    </w:p>
    <w:p w14:paraId="71E23466" w14:textId="77777777" w:rsidR="007059EA" w:rsidRPr="001533EE" w:rsidRDefault="007059EA" w:rsidP="007F22DA">
      <w:pPr>
        <w:pStyle w:val="subhead"/>
        <w:spacing w:before="0" w:after="0"/>
        <w:rPr>
          <w:b w:val="0"/>
          <w:sz w:val="24"/>
          <w:szCs w:val="24"/>
          <w:lang w:eastAsia="en-GB"/>
        </w:rPr>
      </w:pPr>
    </w:p>
    <w:p w14:paraId="44160914" w14:textId="295B738D" w:rsidR="00321B6C" w:rsidRPr="001533EE" w:rsidRDefault="00321B6C" w:rsidP="002D5500">
      <w:pPr>
        <w:ind w:left="567" w:right="176" w:hanging="567"/>
        <w:jc w:val="both"/>
        <w:rPr>
          <w:rFonts w:cs="Arial"/>
          <w:sz w:val="24"/>
          <w:szCs w:val="24"/>
          <w:lang w:val="en-US"/>
        </w:rPr>
      </w:pPr>
      <w:r w:rsidRPr="001533EE">
        <w:rPr>
          <w:rFonts w:cs="Arial"/>
          <w:sz w:val="24"/>
          <w:szCs w:val="24"/>
        </w:rPr>
        <w:t>3.</w:t>
      </w:r>
      <w:r w:rsidR="00E41693">
        <w:rPr>
          <w:rFonts w:cs="Arial"/>
          <w:sz w:val="24"/>
          <w:szCs w:val="24"/>
        </w:rPr>
        <w:t>5</w:t>
      </w:r>
      <w:r w:rsidRPr="001533EE">
        <w:rPr>
          <w:rFonts w:cs="Arial"/>
          <w:b/>
          <w:bCs/>
          <w:sz w:val="24"/>
          <w:szCs w:val="24"/>
        </w:rPr>
        <w:tab/>
        <w:t xml:space="preserve">Affordability indicators - </w:t>
      </w:r>
      <w:r w:rsidRPr="001533EE">
        <w:rPr>
          <w:rFonts w:cs="Arial"/>
          <w:sz w:val="24"/>
          <w:szCs w:val="24"/>
          <w:lang w:val="en-US"/>
        </w:rPr>
        <w:t>Fundamental to the prudential framework is a requirement to set a series of prudential indicators. These indicators are intended to collectively build a picture that demonstrates the impact over time of the Authority’s capital expenditure plans upon the revenue budget and upon borrowing and investment levels and explain the overall controls that will ensure that the activity remains affordable, prudent, and sustainable.</w:t>
      </w:r>
      <w:r w:rsidR="002D5500" w:rsidRPr="001533EE">
        <w:rPr>
          <w:rFonts w:cs="Arial"/>
          <w:sz w:val="24"/>
          <w:szCs w:val="24"/>
          <w:lang w:val="en-US"/>
        </w:rPr>
        <w:t xml:space="preserve"> </w:t>
      </w:r>
      <w:r w:rsidRPr="001533EE">
        <w:rPr>
          <w:rFonts w:cs="Arial"/>
          <w:sz w:val="24"/>
          <w:szCs w:val="24"/>
        </w:rPr>
        <w:t xml:space="preserve">Prudential and treasury indicators to manage capital investments take a longer-term view of affordability, prudence and sustainability and are included in the Treasury Management Strategy Statement at the start of every financial year. These are set out in </w:t>
      </w:r>
      <w:r w:rsidRPr="001533EE">
        <w:rPr>
          <w:rFonts w:cs="Arial"/>
          <w:b/>
          <w:bCs/>
          <w:sz w:val="24"/>
          <w:szCs w:val="24"/>
        </w:rPr>
        <w:t>Appendix 1</w:t>
      </w:r>
      <w:r w:rsidRPr="001533EE">
        <w:rPr>
          <w:rFonts w:cs="Arial"/>
          <w:sz w:val="24"/>
          <w:szCs w:val="24"/>
        </w:rPr>
        <w:t>.</w:t>
      </w:r>
    </w:p>
    <w:p w14:paraId="2568AC71" w14:textId="77777777" w:rsidR="007059EA" w:rsidRPr="001533EE" w:rsidRDefault="007059EA" w:rsidP="00BC700D">
      <w:pPr>
        <w:ind w:right="176"/>
        <w:jc w:val="both"/>
        <w:rPr>
          <w:rFonts w:eastAsia="Arial" w:cs="Arial"/>
          <w:b/>
          <w:bCs/>
          <w:color w:val="FF0000"/>
          <w:spacing w:val="1"/>
          <w:sz w:val="24"/>
          <w:szCs w:val="24"/>
          <w:lang w:val="en-US"/>
        </w:rPr>
      </w:pPr>
    </w:p>
    <w:p w14:paraId="02ACFD6B" w14:textId="4B2713F1" w:rsidR="00BC700D" w:rsidRPr="001533EE" w:rsidRDefault="00604AAC" w:rsidP="00604AAC">
      <w:pPr>
        <w:ind w:right="176"/>
        <w:jc w:val="both"/>
        <w:rPr>
          <w:rFonts w:eastAsia="Arial" w:cs="Arial"/>
          <w:b/>
          <w:bCs/>
          <w:spacing w:val="1"/>
          <w:sz w:val="24"/>
          <w:szCs w:val="24"/>
          <w:lang w:val="en-US"/>
        </w:rPr>
      </w:pPr>
      <w:r w:rsidRPr="001533EE">
        <w:rPr>
          <w:rFonts w:eastAsia="Arial" w:cs="Arial"/>
          <w:spacing w:val="1"/>
          <w:sz w:val="24"/>
          <w:szCs w:val="24"/>
          <w:lang w:val="en-US"/>
        </w:rPr>
        <w:t>3.</w:t>
      </w:r>
      <w:r w:rsidR="00E41693">
        <w:rPr>
          <w:rFonts w:eastAsia="Arial" w:cs="Arial"/>
          <w:spacing w:val="1"/>
          <w:sz w:val="24"/>
          <w:szCs w:val="24"/>
          <w:lang w:val="en-US"/>
        </w:rPr>
        <w:t>6</w:t>
      </w:r>
      <w:r w:rsidRPr="001533EE">
        <w:rPr>
          <w:rFonts w:eastAsia="Arial" w:cs="Arial"/>
          <w:b/>
          <w:bCs/>
          <w:spacing w:val="1"/>
          <w:sz w:val="24"/>
          <w:szCs w:val="24"/>
          <w:lang w:val="en-US"/>
        </w:rPr>
        <w:tab/>
      </w:r>
      <w:r w:rsidR="00BC700D" w:rsidRPr="001533EE">
        <w:rPr>
          <w:rFonts w:eastAsia="Arial" w:cs="Arial"/>
          <w:b/>
          <w:bCs/>
          <w:spacing w:val="1"/>
          <w:sz w:val="24"/>
          <w:szCs w:val="24"/>
          <w:lang w:val="en-US"/>
        </w:rPr>
        <w:t>External Borrowing Limits</w:t>
      </w:r>
    </w:p>
    <w:p w14:paraId="59D33C66" w14:textId="17C0E9F4" w:rsidR="007059EA" w:rsidRPr="001533EE" w:rsidRDefault="007059EA" w:rsidP="00604AAC">
      <w:pPr>
        <w:ind w:right="176"/>
        <w:jc w:val="both"/>
        <w:rPr>
          <w:rFonts w:eastAsia="Arial" w:cs="Arial"/>
          <w:b/>
          <w:bCs/>
          <w:spacing w:val="1"/>
          <w:sz w:val="24"/>
          <w:szCs w:val="24"/>
          <w:lang w:val="en-US"/>
        </w:rPr>
      </w:pPr>
    </w:p>
    <w:p w14:paraId="5E84B910" w14:textId="0E098067" w:rsidR="002D5500" w:rsidRPr="001533EE" w:rsidRDefault="007059EA" w:rsidP="007059EA">
      <w:pPr>
        <w:overflowPunct w:val="0"/>
        <w:autoSpaceDE w:val="0"/>
        <w:autoSpaceDN w:val="0"/>
        <w:adjustRightInd w:val="0"/>
        <w:ind w:left="567"/>
        <w:contextualSpacing/>
        <w:jc w:val="both"/>
        <w:rPr>
          <w:rFonts w:cs="Arial"/>
          <w:sz w:val="24"/>
          <w:szCs w:val="24"/>
        </w:rPr>
      </w:pPr>
      <w:r w:rsidRPr="001533EE">
        <w:rPr>
          <w:rFonts w:cs="Arial"/>
          <w:sz w:val="24"/>
          <w:szCs w:val="24"/>
        </w:rPr>
        <w:t xml:space="preserve">There are prudential indicators for prudence which focus setting an affordable limit for external debt.  The operational boundary is the affordable debt </w:t>
      </w:r>
      <w:r w:rsidR="00E537D7" w:rsidRPr="001533EE">
        <w:rPr>
          <w:rFonts w:cs="Arial"/>
          <w:sz w:val="24"/>
          <w:szCs w:val="24"/>
        </w:rPr>
        <w:t>limit,</w:t>
      </w:r>
      <w:r w:rsidRPr="001533EE">
        <w:rPr>
          <w:rFonts w:cs="Arial"/>
          <w:sz w:val="24"/>
          <w:szCs w:val="24"/>
        </w:rPr>
        <w:t xml:space="preserve"> and the authorised </w:t>
      </w:r>
      <w:r w:rsidRPr="008937B5">
        <w:rPr>
          <w:rFonts w:cs="Arial"/>
          <w:sz w:val="24"/>
          <w:szCs w:val="24"/>
        </w:rPr>
        <w:t>limit represents the legislative limit specified in Section 3 of the Local Government Act 2003.  This is</w:t>
      </w:r>
      <w:r w:rsidR="008937B5" w:rsidRPr="008937B5">
        <w:rPr>
          <w:rFonts w:cs="Arial"/>
          <w:sz w:val="24"/>
          <w:szCs w:val="24"/>
        </w:rPr>
        <w:t xml:space="preserve"> </w:t>
      </w:r>
      <w:r w:rsidRPr="008937B5">
        <w:rPr>
          <w:rFonts w:cs="Arial"/>
          <w:sz w:val="24"/>
          <w:szCs w:val="24"/>
        </w:rPr>
        <w:t>set using the operational boundary plus an amount for unforeseen cashflow movement.  The operational boundary is the limit for total gross external debt, separately identifying</w:t>
      </w:r>
      <w:r w:rsidRPr="001533EE">
        <w:rPr>
          <w:rFonts w:cs="Arial"/>
          <w:sz w:val="24"/>
          <w:szCs w:val="24"/>
        </w:rPr>
        <w:t xml:space="preserve"> borrowing from other long-term liabilities. </w:t>
      </w:r>
    </w:p>
    <w:p w14:paraId="6E638A5C" w14:textId="77777777" w:rsidR="002D5500" w:rsidRPr="001533EE" w:rsidRDefault="002D5500" w:rsidP="007059EA">
      <w:pPr>
        <w:overflowPunct w:val="0"/>
        <w:autoSpaceDE w:val="0"/>
        <w:autoSpaceDN w:val="0"/>
        <w:adjustRightInd w:val="0"/>
        <w:ind w:left="567"/>
        <w:contextualSpacing/>
        <w:jc w:val="both"/>
        <w:rPr>
          <w:rFonts w:cs="Arial"/>
          <w:sz w:val="24"/>
          <w:szCs w:val="24"/>
        </w:rPr>
      </w:pPr>
    </w:p>
    <w:p w14:paraId="33189507" w14:textId="5197AE47" w:rsidR="00A7424F" w:rsidRDefault="007059EA" w:rsidP="00D635A0">
      <w:pPr>
        <w:overflowPunct w:val="0"/>
        <w:autoSpaceDE w:val="0"/>
        <w:autoSpaceDN w:val="0"/>
        <w:adjustRightInd w:val="0"/>
        <w:ind w:left="567"/>
        <w:contextualSpacing/>
        <w:jc w:val="both"/>
        <w:rPr>
          <w:rFonts w:cs="Arial"/>
          <w:sz w:val="24"/>
          <w:szCs w:val="24"/>
        </w:rPr>
      </w:pPr>
      <w:r w:rsidRPr="001533EE">
        <w:rPr>
          <w:rFonts w:cs="Arial"/>
          <w:sz w:val="24"/>
          <w:szCs w:val="24"/>
        </w:rPr>
        <w:t>These</w:t>
      </w:r>
      <w:r w:rsidR="002D5500" w:rsidRPr="001533EE">
        <w:rPr>
          <w:rFonts w:cs="Arial"/>
          <w:sz w:val="24"/>
          <w:szCs w:val="24"/>
        </w:rPr>
        <w:t xml:space="preserve"> limits for the forthcoming financial year and the following two financial years </w:t>
      </w:r>
      <w:r w:rsidRPr="001533EE">
        <w:rPr>
          <w:rFonts w:cs="Arial"/>
          <w:sz w:val="24"/>
          <w:szCs w:val="24"/>
        </w:rPr>
        <w:t xml:space="preserve">are set out in </w:t>
      </w:r>
      <w:r w:rsidRPr="001533EE">
        <w:rPr>
          <w:rFonts w:cs="Arial"/>
          <w:b/>
          <w:bCs/>
          <w:sz w:val="24"/>
          <w:szCs w:val="24"/>
        </w:rPr>
        <w:t>Appendix 1</w:t>
      </w:r>
      <w:r w:rsidRPr="001533EE">
        <w:rPr>
          <w:rFonts w:cs="Arial"/>
          <w:sz w:val="24"/>
          <w:szCs w:val="24"/>
        </w:rPr>
        <w:t xml:space="preserve">. </w:t>
      </w:r>
    </w:p>
    <w:p w14:paraId="614EF8E0" w14:textId="77777777" w:rsidR="00CA037A" w:rsidRPr="00D635A0" w:rsidRDefault="00CA037A" w:rsidP="00D635A0">
      <w:pPr>
        <w:overflowPunct w:val="0"/>
        <w:autoSpaceDE w:val="0"/>
        <w:autoSpaceDN w:val="0"/>
        <w:adjustRightInd w:val="0"/>
        <w:ind w:left="567"/>
        <w:contextualSpacing/>
        <w:jc w:val="both"/>
        <w:rPr>
          <w:rFonts w:cs="Arial"/>
          <w:sz w:val="24"/>
          <w:szCs w:val="24"/>
        </w:rPr>
      </w:pPr>
    </w:p>
    <w:p w14:paraId="1D784A5A" w14:textId="486F920F" w:rsidR="00604AAC" w:rsidRPr="001533EE" w:rsidRDefault="00604AAC" w:rsidP="00604AAC">
      <w:pPr>
        <w:ind w:right="176"/>
        <w:jc w:val="both"/>
        <w:rPr>
          <w:rFonts w:cs="Arial"/>
          <w:b/>
          <w:sz w:val="24"/>
          <w:szCs w:val="24"/>
          <w:lang w:val="en-US"/>
        </w:rPr>
      </w:pPr>
      <w:r w:rsidRPr="001533EE">
        <w:rPr>
          <w:rFonts w:cs="Arial"/>
          <w:bCs/>
          <w:sz w:val="24"/>
          <w:szCs w:val="24"/>
        </w:rPr>
        <w:t>3.</w:t>
      </w:r>
      <w:r w:rsidR="00E41693">
        <w:rPr>
          <w:rFonts w:cs="Arial"/>
          <w:bCs/>
          <w:sz w:val="24"/>
          <w:szCs w:val="24"/>
        </w:rPr>
        <w:t>7</w:t>
      </w:r>
      <w:r w:rsidRPr="001533EE">
        <w:rPr>
          <w:rFonts w:cs="Arial"/>
          <w:b/>
          <w:sz w:val="24"/>
          <w:szCs w:val="24"/>
        </w:rPr>
        <w:tab/>
      </w:r>
      <w:r w:rsidRPr="001533EE">
        <w:rPr>
          <w:rFonts w:cs="Arial"/>
          <w:b/>
          <w:bCs/>
          <w:sz w:val="24"/>
          <w:szCs w:val="24"/>
          <w:lang w:val="en-US"/>
        </w:rPr>
        <w:t>Borrowing Strategy</w:t>
      </w:r>
    </w:p>
    <w:p w14:paraId="2AC921AF" w14:textId="77777777" w:rsidR="00604AAC" w:rsidRPr="001533EE" w:rsidRDefault="00604AAC" w:rsidP="00604AAC">
      <w:pPr>
        <w:ind w:right="176"/>
        <w:jc w:val="both"/>
        <w:rPr>
          <w:rFonts w:cs="Arial"/>
          <w:sz w:val="24"/>
          <w:szCs w:val="24"/>
          <w:lang w:val="en-US"/>
        </w:rPr>
      </w:pPr>
    </w:p>
    <w:p w14:paraId="011E0464" w14:textId="535EF90F" w:rsidR="00604AAC" w:rsidRPr="001533EE" w:rsidRDefault="00604AAC" w:rsidP="00604AAC">
      <w:pPr>
        <w:ind w:right="176" w:firstLine="567"/>
        <w:jc w:val="both"/>
        <w:rPr>
          <w:rFonts w:cs="Arial"/>
          <w:b/>
          <w:bCs/>
          <w:sz w:val="24"/>
          <w:szCs w:val="24"/>
          <w:lang w:val="en-US"/>
        </w:rPr>
      </w:pPr>
      <w:r w:rsidRPr="001533EE">
        <w:rPr>
          <w:rFonts w:cs="Arial"/>
          <w:bCs/>
          <w:sz w:val="24"/>
          <w:szCs w:val="24"/>
          <w:lang w:val="en-US"/>
        </w:rPr>
        <w:t xml:space="preserve">The Authority’s Borrowing Strategy is set out in </w:t>
      </w:r>
      <w:r w:rsidRPr="001533EE">
        <w:rPr>
          <w:rFonts w:cs="Arial"/>
          <w:b/>
          <w:bCs/>
          <w:sz w:val="24"/>
          <w:szCs w:val="24"/>
          <w:lang w:val="en-US"/>
        </w:rPr>
        <w:t xml:space="preserve">Annex 1 - Section </w:t>
      </w:r>
      <w:r w:rsidR="002D5500" w:rsidRPr="001533EE">
        <w:rPr>
          <w:rFonts w:cs="Arial"/>
          <w:b/>
          <w:bCs/>
          <w:sz w:val="24"/>
          <w:szCs w:val="24"/>
          <w:lang w:val="en-US"/>
        </w:rPr>
        <w:t>3</w:t>
      </w:r>
    </w:p>
    <w:p w14:paraId="2A27543A" w14:textId="41D7095D" w:rsidR="00604AAC" w:rsidRPr="001533EE" w:rsidRDefault="00604AAC" w:rsidP="00604AAC">
      <w:pPr>
        <w:ind w:right="176" w:firstLine="567"/>
        <w:jc w:val="both"/>
        <w:rPr>
          <w:rFonts w:cs="Arial"/>
          <w:b/>
          <w:bCs/>
          <w:sz w:val="24"/>
          <w:szCs w:val="24"/>
          <w:lang w:val="en-US"/>
        </w:rPr>
      </w:pPr>
    </w:p>
    <w:p w14:paraId="167E4EA7" w14:textId="304A91C6" w:rsidR="00604AAC" w:rsidRPr="001533EE" w:rsidRDefault="00604AAC" w:rsidP="00604AAC">
      <w:pPr>
        <w:ind w:left="567"/>
        <w:jc w:val="both"/>
        <w:rPr>
          <w:rFonts w:cs="Arial"/>
          <w:bCs/>
          <w:sz w:val="24"/>
          <w:szCs w:val="24"/>
          <w:lang w:val="en-US"/>
        </w:rPr>
      </w:pPr>
      <w:r w:rsidRPr="001533EE">
        <w:rPr>
          <w:rFonts w:cs="Arial"/>
          <w:bCs/>
          <w:sz w:val="24"/>
          <w:szCs w:val="24"/>
          <w:lang w:val="en-US"/>
        </w:rPr>
        <w:t xml:space="preserve">The Authority is currently maintaining an </w:t>
      </w:r>
      <w:proofErr w:type="gramStart"/>
      <w:r w:rsidRPr="001533EE">
        <w:rPr>
          <w:rFonts w:cs="Arial"/>
          <w:bCs/>
          <w:sz w:val="24"/>
          <w:szCs w:val="24"/>
          <w:lang w:val="en-US"/>
        </w:rPr>
        <w:t>under borrowed</w:t>
      </w:r>
      <w:proofErr w:type="gramEnd"/>
      <w:r w:rsidRPr="001533EE">
        <w:rPr>
          <w:rFonts w:cs="Arial"/>
          <w:bCs/>
          <w:sz w:val="24"/>
          <w:szCs w:val="24"/>
          <w:lang w:val="en-US"/>
        </w:rPr>
        <w:t xml:space="preserve"> position. This means that the Capital Financing Requirement (CFR) has not been fully funded from long-term external borrowing as cash supporting the Authority’s reserves and balances has been used as a short-term measure.</w:t>
      </w:r>
    </w:p>
    <w:p w14:paraId="069C20A2" w14:textId="77777777" w:rsidR="00604AAC" w:rsidRPr="001533EE" w:rsidRDefault="00604AAC" w:rsidP="00604AAC">
      <w:pPr>
        <w:ind w:right="176"/>
        <w:jc w:val="both"/>
        <w:rPr>
          <w:rFonts w:cs="Arial"/>
          <w:color w:val="FF0000"/>
          <w:sz w:val="24"/>
          <w:szCs w:val="24"/>
          <w:lang w:val="en-US"/>
        </w:rPr>
      </w:pPr>
    </w:p>
    <w:p w14:paraId="2E9C90AA" w14:textId="7D127A37" w:rsidR="00604AAC" w:rsidRPr="001533EE" w:rsidRDefault="00604AAC" w:rsidP="00604AAC">
      <w:pPr>
        <w:ind w:right="176" w:firstLine="567"/>
        <w:jc w:val="both"/>
        <w:rPr>
          <w:rFonts w:cs="Arial"/>
          <w:sz w:val="24"/>
          <w:szCs w:val="24"/>
          <w:lang w:val="en-US"/>
        </w:rPr>
      </w:pPr>
      <w:r w:rsidRPr="001533EE">
        <w:rPr>
          <w:rFonts w:cs="Arial"/>
          <w:sz w:val="24"/>
          <w:szCs w:val="24"/>
          <w:lang w:val="en-US"/>
        </w:rPr>
        <w:t xml:space="preserve">The use of internal borrowing has been an effective strategy in recent </w:t>
      </w:r>
      <w:proofErr w:type="gramStart"/>
      <w:r w:rsidRPr="001533EE">
        <w:rPr>
          <w:rFonts w:cs="Arial"/>
          <w:sz w:val="24"/>
          <w:szCs w:val="24"/>
          <w:lang w:val="en-US"/>
        </w:rPr>
        <w:t>years</w:t>
      </w:r>
      <w:proofErr w:type="gramEnd"/>
      <w:r w:rsidRPr="001533EE">
        <w:rPr>
          <w:rFonts w:cs="Arial"/>
          <w:sz w:val="24"/>
          <w:szCs w:val="24"/>
          <w:lang w:val="en-US"/>
        </w:rPr>
        <w:t xml:space="preserve"> as:</w:t>
      </w:r>
    </w:p>
    <w:p w14:paraId="47668ADF" w14:textId="77777777" w:rsidR="00604AAC" w:rsidRPr="001533EE" w:rsidRDefault="00604AAC" w:rsidP="00604AAC">
      <w:pPr>
        <w:ind w:right="176"/>
        <w:jc w:val="both"/>
        <w:rPr>
          <w:rFonts w:cs="Arial"/>
          <w:sz w:val="24"/>
          <w:szCs w:val="24"/>
          <w:lang w:val="en-US"/>
        </w:rPr>
      </w:pPr>
    </w:p>
    <w:p w14:paraId="43EA60EE" w14:textId="77777777" w:rsidR="00604AAC" w:rsidRPr="001533EE" w:rsidRDefault="00604AAC" w:rsidP="006A2F03">
      <w:pPr>
        <w:pStyle w:val="ListParagraph"/>
        <w:numPr>
          <w:ilvl w:val="0"/>
          <w:numId w:val="5"/>
        </w:numPr>
        <w:ind w:left="1134" w:right="176" w:hanging="567"/>
        <w:contextualSpacing w:val="0"/>
        <w:jc w:val="both"/>
        <w:rPr>
          <w:rFonts w:cs="Arial"/>
          <w:sz w:val="24"/>
          <w:szCs w:val="24"/>
          <w:lang w:val="en-US"/>
        </w:rPr>
      </w:pPr>
      <w:r w:rsidRPr="001533EE">
        <w:rPr>
          <w:rFonts w:cs="Arial"/>
          <w:sz w:val="24"/>
          <w:szCs w:val="24"/>
          <w:lang w:val="en-US"/>
        </w:rPr>
        <w:t>It has enabled the Authority to avoid significant external borrowing costs; and</w:t>
      </w:r>
    </w:p>
    <w:p w14:paraId="11957516" w14:textId="77777777" w:rsidR="00604AAC" w:rsidRPr="001533EE" w:rsidRDefault="00604AAC" w:rsidP="00604AAC">
      <w:pPr>
        <w:ind w:right="176"/>
        <w:jc w:val="both"/>
        <w:rPr>
          <w:rFonts w:cs="Arial"/>
          <w:sz w:val="24"/>
          <w:szCs w:val="24"/>
          <w:lang w:val="en-US"/>
        </w:rPr>
      </w:pPr>
    </w:p>
    <w:p w14:paraId="2DB992AD" w14:textId="77777777" w:rsidR="00604AAC" w:rsidRPr="001533EE" w:rsidRDefault="00604AAC" w:rsidP="006A2F03">
      <w:pPr>
        <w:pStyle w:val="ListParagraph"/>
        <w:numPr>
          <w:ilvl w:val="0"/>
          <w:numId w:val="5"/>
        </w:numPr>
        <w:ind w:left="1134" w:right="176" w:hanging="567"/>
        <w:contextualSpacing w:val="0"/>
        <w:jc w:val="both"/>
        <w:rPr>
          <w:rFonts w:cs="Arial"/>
          <w:sz w:val="24"/>
          <w:szCs w:val="24"/>
          <w:lang w:val="en-US"/>
        </w:rPr>
      </w:pPr>
      <w:r w:rsidRPr="001533EE">
        <w:rPr>
          <w:rFonts w:cs="Arial"/>
          <w:sz w:val="24"/>
          <w:szCs w:val="24"/>
          <w:lang w:val="en-US"/>
        </w:rPr>
        <w:t>It has mitigated significantly the risks associated with investing cash in what has often been a volatile and challenging market.</w:t>
      </w:r>
    </w:p>
    <w:p w14:paraId="6210E3FD" w14:textId="77777777" w:rsidR="00A855B0" w:rsidRPr="001533EE" w:rsidRDefault="00A855B0" w:rsidP="00A855B0">
      <w:pPr>
        <w:ind w:left="567"/>
        <w:jc w:val="both"/>
        <w:rPr>
          <w:rFonts w:cs="Arial"/>
          <w:b/>
          <w:bCs/>
          <w:sz w:val="24"/>
          <w:szCs w:val="24"/>
        </w:rPr>
      </w:pPr>
    </w:p>
    <w:p w14:paraId="5486C0BB" w14:textId="73965FA9" w:rsidR="00A855B0" w:rsidRPr="001533EE" w:rsidRDefault="00A855B0" w:rsidP="00A855B0">
      <w:pPr>
        <w:ind w:left="567"/>
        <w:jc w:val="both"/>
        <w:rPr>
          <w:rFonts w:eastAsia="Arial" w:cs="Arial"/>
          <w:bCs/>
          <w:spacing w:val="1"/>
          <w:sz w:val="24"/>
          <w:szCs w:val="24"/>
          <w:lang w:val="en-US"/>
        </w:rPr>
      </w:pPr>
      <w:r w:rsidRPr="001533EE">
        <w:rPr>
          <w:rFonts w:eastAsia="Arial" w:cs="Arial"/>
          <w:bCs/>
          <w:spacing w:val="1"/>
          <w:sz w:val="24"/>
          <w:szCs w:val="24"/>
          <w:lang w:val="en-US"/>
        </w:rPr>
        <w:t xml:space="preserve">The Treasury Management Strategy Statement uses forecast cashflow information from the Reserves Strategy and the Capital Plan to make decisions around the amount, timing and duration of any new external borrowing required by the </w:t>
      </w:r>
      <w:r w:rsidR="009E0C14" w:rsidRPr="001533EE">
        <w:rPr>
          <w:rFonts w:eastAsia="Arial" w:cs="Arial"/>
          <w:bCs/>
          <w:spacing w:val="1"/>
          <w:sz w:val="24"/>
          <w:szCs w:val="24"/>
          <w:lang w:val="en-US"/>
        </w:rPr>
        <w:t>Authority.</w:t>
      </w:r>
    </w:p>
    <w:p w14:paraId="509CA89D" w14:textId="77777777" w:rsidR="00A855B0" w:rsidRPr="001533EE" w:rsidRDefault="00A855B0" w:rsidP="00A855B0">
      <w:pPr>
        <w:ind w:left="567" w:hanging="567"/>
        <w:jc w:val="both"/>
        <w:rPr>
          <w:rFonts w:cs="Arial"/>
          <w:sz w:val="24"/>
          <w:szCs w:val="24"/>
        </w:rPr>
      </w:pPr>
    </w:p>
    <w:p w14:paraId="24FD7158" w14:textId="7B4331BF" w:rsidR="00A855B0" w:rsidRPr="001533EE" w:rsidRDefault="00A855B0" w:rsidP="00A855B0">
      <w:pPr>
        <w:ind w:left="567"/>
        <w:jc w:val="both"/>
        <w:rPr>
          <w:rFonts w:eastAsia="Arial" w:cs="Arial"/>
          <w:bCs/>
          <w:spacing w:val="1"/>
          <w:sz w:val="24"/>
          <w:szCs w:val="24"/>
          <w:lang w:val="en-US"/>
        </w:rPr>
      </w:pPr>
      <w:r w:rsidRPr="001533EE">
        <w:rPr>
          <w:rFonts w:eastAsia="Arial" w:cs="Arial"/>
          <w:bCs/>
          <w:spacing w:val="1"/>
          <w:sz w:val="24"/>
          <w:szCs w:val="24"/>
          <w:lang w:val="en-US"/>
        </w:rPr>
        <w:t xml:space="preserve">In terms of the Reserves Strategy, the Authority uses a risk-assessed General Fund Reserve and effectively manages the balances of earmarked reserves over the longer term which is used to support the forward Balance Sheet projection. This </w:t>
      </w:r>
      <w:proofErr w:type="gramStart"/>
      <w:r w:rsidRPr="001533EE">
        <w:rPr>
          <w:rFonts w:eastAsia="Arial" w:cs="Arial"/>
          <w:bCs/>
          <w:spacing w:val="1"/>
          <w:sz w:val="24"/>
          <w:szCs w:val="24"/>
          <w:lang w:val="en-US"/>
        </w:rPr>
        <w:t>projection</w:t>
      </w:r>
      <w:proofErr w:type="gramEnd"/>
      <w:r w:rsidRPr="001533EE">
        <w:rPr>
          <w:rFonts w:eastAsia="Arial" w:cs="Arial"/>
          <w:bCs/>
          <w:spacing w:val="1"/>
          <w:sz w:val="24"/>
          <w:szCs w:val="24"/>
          <w:lang w:val="en-US"/>
        </w:rPr>
        <w:t xml:space="preserve"> provides a valuable foundation for the strategic financial planning of capital financing costs for the capital investment plan.</w:t>
      </w:r>
    </w:p>
    <w:p w14:paraId="29F1FC6F" w14:textId="77777777" w:rsidR="00A855B0" w:rsidRPr="001533EE" w:rsidRDefault="00A855B0" w:rsidP="00A855B0">
      <w:pPr>
        <w:ind w:left="567" w:hanging="567"/>
        <w:jc w:val="both"/>
        <w:rPr>
          <w:rFonts w:cs="Arial"/>
          <w:sz w:val="24"/>
          <w:szCs w:val="24"/>
        </w:rPr>
      </w:pPr>
    </w:p>
    <w:p w14:paraId="436E0265" w14:textId="4EC9ECD2" w:rsidR="00A855B0" w:rsidRDefault="00A855B0" w:rsidP="00A855B0">
      <w:pPr>
        <w:ind w:left="567"/>
        <w:jc w:val="both"/>
        <w:rPr>
          <w:rFonts w:eastAsia="Arial" w:cs="Arial"/>
          <w:bCs/>
          <w:spacing w:val="1"/>
          <w:sz w:val="24"/>
          <w:szCs w:val="24"/>
          <w:lang w:val="en-US"/>
        </w:rPr>
      </w:pPr>
      <w:r w:rsidRPr="001533EE">
        <w:rPr>
          <w:rFonts w:eastAsia="Arial" w:cs="Arial"/>
          <w:bCs/>
          <w:spacing w:val="1"/>
          <w:sz w:val="24"/>
          <w:szCs w:val="24"/>
          <w:lang w:val="en-US"/>
        </w:rPr>
        <w:lastRenderedPageBreak/>
        <w:t>In terms of the Borrowing Strategy, the</w:t>
      </w:r>
      <w:r w:rsidR="009E0C14" w:rsidRPr="001533EE">
        <w:rPr>
          <w:rFonts w:eastAsia="Arial" w:cs="Arial"/>
          <w:bCs/>
          <w:spacing w:val="1"/>
          <w:sz w:val="24"/>
          <w:szCs w:val="24"/>
          <w:lang w:val="en-US"/>
        </w:rPr>
        <w:t xml:space="preserve"> Authority</w:t>
      </w:r>
      <w:r w:rsidRPr="001533EE">
        <w:rPr>
          <w:rFonts w:eastAsia="Arial" w:cs="Arial"/>
          <w:bCs/>
          <w:spacing w:val="1"/>
          <w:sz w:val="24"/>
          <w:szCs w:val="24"/>
          <w:lang w:val="en-US"/>
        </w:rPr>
        <w:t xml:space="preserve">’s main objectives when borrowing </w:t>
      </w:r>
      <w:r w:rsidRPr="008937B5">
        <w:rPr>
          <w:rFonts w:eastAsia="Arial" w:cs="Arial"/>
          <w:bCs/>
          <w:spacing w:val="1"/>
          <w:sz w:val="24"/>
          <w:szCs w:val="24"/>
          <w:lang w:val="en-US"/>
        </w:rPr>
        <w:t xml:space="preserve">are to achieve a low but certain cost of finance while retaining flexibility </w:t>
      </w:r>
      <w:proofErr w:type="gramStart"/>
      <w:r w:rsidRPr="008937B5">
        <w:rPr>
          <w:rFonts w:eastAsia="Arial" w:cs="Arial"/>
          <w:bCs/>
          <w:spacing w:val="1"/>
          <w:sz w:val="24"/>
          <w:szCs w:val="24"/>
          <w:lang w:val="en-US"/>
        </w:rPr>
        <w:t>should plans</w:t>
      </w:r>
      <w:proofErr w:type="gramEnd"/>
      <w:r w:rsidRPr="008937B5">
        <w:rPr>
          <w:rFonts w:eastAsia="Arial" w:cs="Arial"/>
          <w:bCs/>
          <w:spacing w:val="1"/>
          <w:sz w:val="24"/>
          <w:szCs w:val="24"/>
          <w:lang w:val="en-US"/>
        </w:rPr>
        <w:t xml:space="preserve"> change in</w:t>
      </w:r>
      <w:r w:rsidR="008937B5" w:rsidRPr="008937B5">
        <w:rPr>
          <w:rFonts w:eastAsia="Arial" w:cs="Arial"/>
          <w:bCs/>
          <w:spacing w:val="1"/>
          <w:sz w:val="24"/>
          <w:szCs w:val="24"/>
          <w:lang w:val="en-US"/>
        </w:rPr>
        <w:t xml:space="preserve"> the</w:t>
      </w:r>
      <w:r w:rsidRPr="008937B5">
        <w:rPr>
          <w:rFonts w:eastAsia="Arial" w:cs="Arial"/>
          <w:bCs/>
          <w:spacing w:val="1"/>
          <w:sz w:val="24"/>
          <w:szCs w:val="24"/>
          <w:lang w:val="en-US"/>
        </w:rPr>
        <w:t xml:space="preserve"> future. These objectives are often conflicting, and the </w:t>
      </w:r>
      <w:r w:rsidR="009E0C14" w:rsidRPr="008937B5">
        <w:rPr>
          <w:rFonts w:eastAsia="Arial" w:cs="Arial"/>
          <w:bCs/>
          <w:spacing w:val="1"/>
          <w:sz w:val="24"/>
          <w:szCs w:val="24"/>
          <w:lang w:val="en-US"/>
        </w:rPr>
        <w:t xml:space="preserve">Authority </w:t>
      </w:r>
      <w:r w:rsidRPr="008937B5">
        <w:rPr>
          <w:rFonts w:eastAsia="Arial" w:cs="Arial"/>
          <w:bCs/>
          <w:spacing w:val="1"/>
          <w:sz w:val="24"/>
          <w:szCs w:val="24"/>
          <w:lang w:val="en-US"/>
        </w:rPr>
        <w:t>therefore seeks to strike a balance</w:t>
      </w:r>
      <w:r w:rsidRPr="001533EE">
        <w:rPr>
          <w:rFonts w:eastAsia="Arial" w:cs="Arial"/>
          <w:bCs/>
          <w:spacing w:val="1"/>
          <w:sz w:val="24"/>
          <w:szCs w:val="24"/>
          <w:lang w:val="en-US"/>
        </w:rPr>
        <w:t xml:space="preserve"> between financing using the low-cost internal cash resources available in the short term and further long-term fixed rate loans where the future cost is known.</w:t>
      </w:r>
    </w:p>
    <w:p w14:paraId="17E4B8F3" w14:textId="77777777" w:rsidR="00E41693" w:rsidRDefault="00E41693" w:rsidP="00A855B0">
      <w:pPr>
        <w:ind w:left="567"/>
        <w:jc w:val="both"/>
        <w:rPr>
          <w:rFonts w:eastAsia="Arial" w:cs="Arial"/>
          <w:bCs/>
          <w:spacing w:val="1"/>
          <w:sz w:val="24"/>
          <w:szCs w:val="24"/>
          <w:lang w:val="en-US"/>
        </w:rPr>
      </w:pPr>
    </w:p>
    <w:p w14:paraId="196A9B57" w14:textId="2FE252D3" w:rsidR="001E4156" w:rsidRDefault="00E41693" w:rsidP="00FD4227">
      <w:pPr>
        <w:ind w:left="567" w:right="176"/>
        <w:jc w:val="both"/>
        <w:rPr>
          <w:rFonts w:cs="Arial"/>
          <w:sz w:val="24"/>
          <w:szCs w:val="24"/>
          <w:lang w:val="en-US"/>
        </w:rPr>
      </w:pPr>
      <w:r w:rsidRPr="006A2F03">
        <w:rPr>
          <w:rFonts w:eastAsia="Arial Unicode MS" w:cs="Arial"/>
          <w:color w:val="000000"/>
          <w:sz w:val="24"/>
          <w:szCs w:val="24"/>
        </w:rPr>
        <w:t xml:space="preserve">The Authority plans to borrow only to fund Estates capital expenditure from 2026/27 onwards, all other expenditure being funded from the Capital reserve built up from </w:t>
      </w:r>
      <w:r w:rsidRPr="006A2F03">
        <w:rPr>
          <w:rFonts w:cs="Arial"/>
          <w:sz w:val="24"/>
          <w:szCs w:val="24"/>
          <w:lang w:val="en-US"/>
        </w:rPr>
        <w:t>amounts set aside from the revenue budget.</w:t>
      </w:r>
    </w:p>
    <w:p w14:paraId="6F11865C" w14:textId="77777777" w:rsidR="00604AAC" w:rsidRPr="001533EE" w:rsidRDefault="00604AAC" w:rsidP="00604AAC">
      <w:pPr>
        <w:ind w:right="176"/>
        <w:jc w:val="both"/>
        <w:rPr>
          <w:rFonts w:cs="Arial"/>
          <w:sz w:val="24"/>
          <w:szCs w:val="24"/>
          <w:lang w:val="en-US"/>
        </w:rPr>
      </w:pPr>
    </w:p>
    <w:p w14:paraId="0E5C7993" w14:textId="2D59F974" w:rsidR="00604AAC" w:rsidRDefault="00604AAC" w:rsidP="00604AAC">
      <w:pPr>
        <w:ind w:left="567" w:right="176"/>
        <w:jc w:val="both"/>
        <w:rPr>
          <w:rFonts w:cs="Arial"/>
          <w:sz w:val="24"/>
          <w:szCs w:val="24"/>
          <w:lang w:val="en-US"/>
        </w:rPr>
      </w:pPr>
      <w:r w:rsidRPr="001533EE">
        <w:rPr>
          <w:rFonts w:cs="Arial"/>
          <w:sz w:val="24"/>
          <w:szCs w:val="24"/>
          <w:lang w:val="en-US"/>
        </w:rPr>
        <w:t xml:space="preserve">Opportunities to generate savings by refinancing or prematurely repaying existing long-term debt will also be kept under review. Potential savings will be considered </w:t>
      </w:r>
      <w:r w:rsidR="00E41693" w:rsidRPr="001533EE">
        <w:rPr>
          <w:rFonts w:cs="Arial"/>
          <w:sz w:val="24"/>
          <w:szCs w:val="24"/>
          <w:lang w:val="en-US"/>
        </w:rPr>
        <w:t>considering</w:t>
      </w:r>
      <w:r w:rsidRPr="001533EE">
        <w:rPr>
          <w:rFonts w:cs="Arial"/>
          <w:sz w:val="24"/>
          <w:szCs w:val="24"/>
          <w:lang w:val="en-US"/>
        </w:rPr>
        <w:t xml:space="preserve"> the current treasury position and the costs associated with such actions.</w:t>
      </w:r>
    </w:p>
    <w:p w14:paraId="3F794290" w14:textId="77777777" w:rsidR="00282567" w:rsidRDefault="00282567" w:rsidP="00282567">
      <w:pPr>
        <w:pStyle w:val="subhead"/>
        <w:spacing w:before="0" w:after="0"/>
        <w:jc w:val="left"/>
        <w:rPr>
          <w:bCs/>
          <w:sz w:val="24"/>
          <w:szCs w:val="24"/>
          <w:lang w:eastAsia="en-GB"/>
        </w:rPr>
      </w:pPr>
    </w:p>
    <w:p w14:paraId="49CCCE04" w14:textId="77777777" w:rsidR="00666EB6" w:rsidRPr="001533EE" w:rsidRDefault="00666EB6" w:rsidP="00282567">
      <w:pPr>
        <w:pStyle w:val="subhead"/>
        <w:spacing w:before="0" w:after="0"/>
        <w:jc w:val="left"/>
        <w:rPr>
          <w:bCs/>
          <w:sz w:val="24"/>
          <w:szCs w:val="24"/>
          <w:lang w:eastAsia="en-GB"/>
        </w:rPr>
      </w:pPr>
    </w:p>
    <w:p w14:paraId="475FB3C8" w14:textId="2C6A36C1" w:rsidR="007059EA" w:rsidRPr="001533EE" w:rsidRDefault="00282567" w:rsidP="00282567">
      <w:pPr>
        <w:pStyle w:val="subhead"/>
        <w:spacing w:before="0" w:after="0"/>
        <w:jc w:val="left"/>
        <w:rPr>
          <w:bCs/>
          <w:noProof w:val="0"/>
          <w:sz w:val="24"/>
          <w:szCs w:val="24"/>
          <w:lang w:val="en-US" w:eastAsia="en-GB"/>
        </w:rPr>
      </w:pPr>
      <w:r w:rsidRPr="001533EE">
        <w:rPr>
          <w:bCs/>
          <w:noProof w:val="0"/>
          <w:sz w:val="24"/>
          <w:szCs w:val="24"/>
          <w:lang w:val="en-US" w:eastAsia="en-GB"/>
        </w:rPr>
        <w:t>4</w:t>
      </w:r>
      <w:r w:rsidR="007059EA" w:rsidRPr="001533EE">
        <w:rPr>
          <w:bCs/>
          <w:noProof w:val="0"/>
          <w:sz w:val="24"/>
          <w:szCs w:val="24"/>
          <w:lang w:val="en-US" w:eastAsia="en-GB"/>
        </w:rPr>
        <w:t>.0</w:t>
      </w:r>
      <w:r w:rsidR="007059EA" w:rsidRPr="001533EE">
        <w:rPr>
          <w:bCs/>
          <w:noProof w:val="0"/>
          <w:sz w:val="24"/>
          <w:szCs w:val="24"/>
          <w:lang w:val="en-US" w:eastAsia="en-GB"/>
        </w:rPr>
        <w:tab/>
        <w:t>GOVERNANCE</w:t>
      </w:r>
    </w:p>
    <w:p w14:paraId="3D80E20A" w14:textId="77777777" w:rsidR="007059EA" w:rsidRPr="001533EE" w:rsidRDefault="007059EA" w:rsidP="007059EA">
      <w:pPr>
        <w:pStyle w:val="subhead"/>
        <w:spacing w:before="0" w:after="0"/>
        <w:ind w:left="567" w:hanging="567"/>
        <w:jc w:val="left"/>
        <w:rPr>
          <w:b w:val="0"/>
          <w:noProof w:val="0"/>
          <w:sz w:val="24"/>
          <w:szCs w:val="24"/>
          <w:lang w:val="en-US" w:eastAsia="en-GB"/>
        </w:rPr>
      </w:pPr>
    </w:p>
    <w:p w14:paraId="1184E8CF" w14:textId="77777777" w:rsidR="003B529F" w:rsidRPr="001533EE" w:rsidRDefault="00282567" w:rsidP="003B529F">
      <w:pPr>
        <w:pStyle w:val="subhead"/>
        <w:spacing w:before="0" w:after="0"/>
        <w:ind w:left="567" w:hanging="567"/>
        <w:rPr>
          <w:b w:val="0"/>
          <w:noProof w:val="0"/>
          <w:sz w:val="24"/>
          <w:szCs w:val="24"/>
          <w:lang w:val="en-US" w:eastAsia="en-GB"/>
        </w:rPr>
      </w:pPr>
      <w:r w:rsidRPr="001533EE">
        <w:rPr>
          <w:b w:val="0"/>
          <w:noProof w:val="0"/>
          <w:sz w:val="24"/>
          <w:szCs w:val="24"/>
          <w:lang w:val="en-US" w:eastAsia="en-GB"/>
        </w:rPr>
        <w:t>4</w:t>
      </w:r>
      <w:r w:rsidR="007059EA" w:rsidRPr="001533EE">
        <w:rPr>
          <w:b w:val="0"/>
          <w:noProof w:val="0"/>
          <w:sz w:val="24"/>
          <w:szCs w:val="24"/>
          <w:lang w:val="en-US" w:eastAsia="en-GB"/>
        </w:rPr>
        <w:t>.1</w:t>
      </w:r>
      <w:r w:rsidR="007059EA" w:rsidRPr="001533EE">
        <w:rPr>
          <w:b w:val="0"/>
          <w:noProof w:val="0"/>
          <w:sz w:val="24"/>
          <w:szCs w:val="24"/>
          <w:lang w:val="en-US" w:eastAsia="en-GB"/>
        </w:rPr>
        <w:tab/>
        <w:t xml:space="preserve">Consideration, approval and monitoring of the capital plan </w:t>
      </w:r>
      <w:proofErr w:type="gramStart"/>
      <w:r w:rsidR="007059EA" w:rsidRPr="001533EE">
        <w:rPr>
          <w:b w:val="0"/>
          <w:noProof w:val="0"/>
          <w:sz w:val="24"/>
          <w:szCs w:val="24"/>
          <w:lang w:val="en-US" w:eastAsia="en-GB"/>
        </w:rPr>
        <w:t>takes</w:t>
      </w:r>
      <w:proofErr w:type="gramEnd"/>
      <w:r w:rsidR="007059EA" w:rsidRPr="001533EE">
        <w:rPr>
          <w:b w:val="0"/>
          <w:noProof w:val="0"/>
          <w:sz w:val="24"/>
          <w:szCs w:val="24"/>
          <w:lang w:val="en-US" w:eastAsia="en-GB"/>
        </w:rPr>
        <w:t xml:space="preserve"> place as part of the Authority’s planning timetable</w:t>
      </w:r>
      <w:r w:rsidR="003B529F" w:rsidRPr="001533EE">
        <w:rPr>
          <w:b w:val="0"/>
          <w:noProof w:val="0"/>
          <w:sz w:val="24"/>
          <w:szCs w:val="24"/>
          <w:lang w:val="en-US" w:eastAsia="en-GB"/>
        </w:rPr>
        <w:t xml:space="preserve">. </w:t>
      </w:r>
    </w:p>
    <w:p w14:paraId="7256635C" w14:textId="77777777" w:rsidR="003B529F" w:rsidRPr="001533EE" w:rsidRDefault="003B529F" w:rsidP="003B529F">
      <w:pPr>
        <w:pStyle w:val="subhead"/>
        <w:spacing w:before="0" w:after="0"/>
        <w:ind w:left="567" w:hanging="567"/>
        <w:rPr>
          <w:b w:val="0"/>
          <w:noProof w:val="0"/>
          <w:sz w:val="24"/>
          <w:szCs w:val="24"/>
          <w:lang w:val="en-US" w:eastAsia="en-GB"/>
        </w:rPr>
      </w:pPr>
    </w:p>
    <w:p w14:paraId="63456A32" w14:textId="3551DCE1" w:rsidR="007059EA" w:rsidRPr="001533EE" w:rsidRDefault="003B529F" w:rsidP="003B529F">
      <w:pPr>
        <w:pStyle w:val="subhead"/>
        <w:spacing w:before="0" w:after="0"/>
        <w:ind w:left="567" w:hanging="567"/>
        <w:rPr>
          <w:b w:val="0"/>
          <w:noProof w:val="0"/>
          <w:sz w:val="24"/>
          <w:szCs w:val="24"/>
          <w:lang w:val="en-US" w:eastAsia="en-GB"/>
        </w:rPr>
      </w:pPr>
      <w:r w:rsidRPr="001533EE">
        <w:rPr>
          <w:b w:val="0"/>
          <w:noProof w:val="0"/>
          <w:sz w:val="24"/>
          <w:szCs w:val="24"/>
          <w:lang w:val="en-US" w:eastAsia="en-GB"/>
        </w:rPr>
        <w:t>4.2</w:t>
      </w:r>
      <w:r w:rsidRPr="001533EE">
        <w:rPr>
          <w:b w:val="0"/>
          <w:noProof w:val="0"/>
          <w:sz w:val="24"/>
          <w:szCs w:val="24"/>
          <w:lang w:val="en-US" w:eastAsia="en-GB"/>
        </w:rPr>
        <w:tab/>
        <w:t>C</w:t>
      </w:r>
      <w:r w:rsidR="007059EA" w:rsidRPr="001533EE">
        <w:rPr>
          <w:b w:val="0"/>
          <w:noProof w:val="0"/>
          <w:sz w:val="24"/>
          <w:szCs w:val="24"/>
          <w:lang w:val="en-US" w:eastAsia="en-GB"/>
        </w:rPr>
        <w:t xml:space="preserve">onsideration </w:t>
      </w:r>
      <w:r w:rsidRPr="001533EE">
        <w:rPr>
          <w:b w:val="0"/>
          <w:noProof w:val="0"/>
          <w:sz w:val="24"/>
          <w:szCs w:val="24"/>
          <w:lang w:val="en-US" w:eastAsia="en-GB"/>
        </w:rPr>
        <w:t xml:space="preserve">must </w:t>
      </w:r>
      <w:r w:rsidR="009E0C14" w:rsidRPr="001533EE">
        <w:rPr>
          <w:b w:val="0"/>
          <w:noProof w:val="0"/>
          <w:sz w:val="24"/>
          <w:szCs w:val="24"/>
          <w:lang w:val="en-US" w:eastAsia="en-GB"/>
        </w:rPr>
        <w:t xml:space="preserve">be </w:t>
      </w:r>
      <w:r w:rsidR="007059EA" w:rsidRPr="001533EE">
        <w:rPr>
          <w:b w:val="0"/>
          <w:noProof w:val="0"/>
          <w:sz w:val="24"/>
          <w:szCs w:val="24"/>
          <w:lang w:val="en-US" w:eastAsia="en-GB"/>
        </w:rPr>
        <w:t>given to the capital budget setting process</w:t>
      </w:r>
      <w:r w:rsidRPr="001533EE">
        <w:rPr>
          <w:b w:val="0"/>
          <w:noProof w:val="0"/>
          <w:sz w:val="24"/>
          <w:szCs w:val="24"/>
          <w:lang w:val="en-US" w:eastAsia="en-GB"/>
        </w:rPr>
        <w:t xml:space="preserve">. </w:t>
      </w:r>
      <w:r w:rsidR="007059EA" w:rsidRPr="001533EE">
        <w:rPr>
          <w:b w:val="0"/>
          <w:noProof w:val="0"/>
          <w:sz w:val="24"/>
          <w:szCs w:val="24"/>
          <w:lang w:val="en-US" w:eastAsia="en-GB"/>
        </w:rPr>
        <w:t xml:space="preserve">The Capital Plan sets out the Authority’s </w:t>
      </w:r>
      <w:proofErr w:type="gramStart"/>
      <w:r w:rsidR="007059EA" w:rsidRPr="001533EE">
        <w:rPr>
          <w:b w:val="0"/>
          <w:noProof w:val="0"/>
          <w:sz w:val="24"/>
          <w:szCs w:val="24"/>
          <w:lang w:val="en-US" w:eastAsia="en-GB"/>
        </w:rPr>
        <w:t>longer term</w:t>
      </w:r>
      <w:proofErr w:type="gramEnd"/>
      <w:r w:rsidR="007059EA" w:rsidRPr="001533EE">
        <w:rPr>
          <w:b w:val="0"/>
          <w:noProof w:val="0"/>
          <w:sz w:val="24"/>
          <w:szCs w:val="24"/>
          <w:lang w:val="en-US" w:eastAsia="en-GB"/>
        </w:rPr>
        <w:t xml:space="preserve"> capital investment plans. These plans support the Authority’s strategic and service objectives by </w:t>
      </w:r>
      <w:proofErr w:type="spellStart"/>
      <w:r w:rsidR="007059EA" w:rsidRPr="001533EE">
        <w:rPr>
          <w:b w:val="0"/>
          <w:noProof w:val="0"/>
          <w:sz w:val="24"/>
          <w:szCs w:val="24"/>
          <w:lang w:val="en-US" w:eastAsia="en-GB"/>
        </w:rPr>
        <w:t>maximising</w:t>
      </w:r>
      <w:proofErr w:type="spellEnd"/>
      <w:r w:rsidR="007059EA" w:rsidRPr="001533EE">
        <w:rPr>
          <w:b w:val="0"/>
          <w:noProof w:val="0"/>
          <w:sz w:val="24"/>
          <w:szCs w:val="24"/>
          <w:lang w:val="en-US" w:eastAsia="en-GB"/>
        </w:rPr>
        <w:t xml:space="preserve"> the assets necessary to support service delivery whilst </w:t>
      </w:r>
      <w:proofErr w:type="spellStart"/>
      <w:r w:rsidR="007059EA" w:rsidRPr="001533EE">
        <w:rPr>
          <w:b w:val="0"/>
          <w:noProof w:val="0"/>
          <w:sz w:val="24"/>
          <w:szCs w:val="24"/>
          <w:lang w:val="en-US" w:eastAsia="en-GB"/>
        </w:rPr>
        <w:t>minimising</w:t>
      </w:r>
      <w:proofErr w:type="spellEnd"/>
      <w:r w:rsidR="007059EA" w:rsidRPr="001533EE">
        <w:rPr>
          <w:b w:val="0"/>
          <w:noProof w:val="0"/>
          <w:sz w:val="24"/>
          <w:szCs w:val="24"/>
          <w:lang w:val="en-US" w:eastAsia="en-GB"/>
        </w:rPr>
        <w:t xml:space="preserve"> the impact on the revenue budget.</w:t>
      </w:r>
    </w:p>
    <w:p w14:paraId="7907E072" w14:textId="77777777" w:rsidR="007059EA" w:rsidRPr="001533EE" w:rsidRDefault="007059EA" w:rsidP="007059EA">
      <w:pPr>
        <w:pStyle w:val="subhead"/>
        <w:spacing w:before="0" w:after="0"/>
        <w:ind w:left="567" w:hanging="567"/>
        <w:rPr>
          <w:b w:val="0"/>
          <w:noProof w:val="0"/>
          <w:sz w:val="24"/>
          <w:szCs w:val="24"/>
          <w:lang w:val="en-US" w:eastAsia="en-GB"/>
        </w:rPr>
      </w:pPr>
    </w:p>
    <w:p w14:paraId="60580741" w14:textId="579D4F08" w:rsidR="007059EA" w:rsidRPr="001533EE" w:rsidRDefault="00282567" w:rsidP="007059EA">
      <w:pPr>
        <w:pStyle w:val="subhead"/>
        <w:spacing w:before="0" w:after="0"/>
        <w:ind w:left="567" w:hanging="567"/>
        <w:rPr>
          <w:b w:val="0"/>
          <w:noProof w:val="0"/>
          <w:sz w:val="24"/>
          <w:szCs w:val="24"/>
          <w:lang w:val="en-US" w:eastAsia="en-GB"/>
        </w:rPr>
      </w:pPr>
      <w:r w:rsidRPr="001533EE">
        <w:rPr>
          <w:b w:val="0"/>
          <w:noProof w:val="0"/>
          <w:sz w:val="24"/>
          <w:szCs w:val="24"/>
          <w:lang w:val="en-US" w:eastAsia="en-GB"/>
        </w:rPr>
        <w:t>4</w:t>
      </w:r>
      <w:r w:rsidR="007059EA" w:rsidRPr="001533EE">
        <w:rPr>
          <w:b w:val="0"/>
          <w:noProof w:val="0"/>
          <w:sz w:val="24"/>
          <w:szCs w:val="24"/>
          <w:lang w:val="en-US" w:eastAsia="en-GB"/>
        </w:rPr>
        <w:t>.</w:t>
      </w:r>
      <w:r w:rsidR="003B529F" w:rsidRPr="001533EE">
        <w:rPr>
          <w:b w:val="0"/>
          <w:noProof w:val="0"/>
          <w:sz w:val="24"/>
          <w:szCs w:val="24"/>
          <w:lang w:val="en-US" w:eastAsia="en-GB"/>
        </w:rPr>
        <w:t>3</w:t>
      </w:r>
      <w:r w:rsidR="007059EA" w:rsidRPr="001533EE">
        <w:rPr>
          <w:b w:val="0"/>
          <w:noProof w:val="0"/>
          <w:sz w:val="24"/>
          <w:szCs w:val="24"/>
          <w:lang w:val="en-US" w:eastAsia="en-GB"/>
        </w:rPr>
        <w:tab/>
      </w:r>
      <w:r w:rsidR="007059EA" w:rsidRPr="008937B5">
        <w:rPr>
          <w:b w:val="0"/>
          <w:noProof w:val="0"/>
          <w:sz w:val="24"/>
          <w:szCs w:val="24"/>
          <w:lang w:val="en-US" w:eastAsia="en-GB"/>
        </w:rPr>
        <w:t xml:space="preserve">The Capital Plan must be approved by </w:t>
      </w:r>
      <w:r w:rsidR="009E0C14" w:rsidRPr="008937B5">
        <w:rPr>
          <w:b w:val="0"/>
          <w:noProof w:val="0"/>
          <w:sz w:val="24"/>
          <w:szCs w:val="24"/>
          <w:lang w:val="en-US" w:eastAsia="en-GB"/>
        </w:rPr>
        <w:t>the</w:t>
      </w:r>
      <w:r w:rsidR="008937B5" w:rsidRPr="008937B5">
        <w:rPr>
          <w:b w:val="0"/>
          <w:noProof w:val="0"/>
          <w:sz w:val="24"/>
          <w:szCs w:val="24"/>
          <w:lang w:val="en-US" w:eastAsia="en-GB"/>
        </w:rPr>
        <w:t xml:space="preserve"> </w:t>
      </w:r>
      <w:proofErr w:type="gramStart"/>
      <w:r w:rsidR="008937B5" w:rsidRPr="008937B5">
        <w:rPr>
          <w:b w:val="0"/>
          <w:noProof w:val="0"/>
          <w:sz w:val="24"/>
          <w:szCs w:val="24"/>
          <w:lang w:val="en-US" w:eastAsia="en-GB"/>
        </w:rPr>
        <w:t>Mayor</w:t>
      </w:r>
      <w:proofErr w:type="gramEnd"/>
      <w:r w:rsidR="008937B5" w:rsidRPr="008937B5">
        <w:rPr>
          <w:b w:val="0"/>
          <w:noProof w:val="0"/>
          <w:sz w:val="24"/>
          <w:szCs w:val="24"/>
          <w:lang w:val="en-US" w:eastAsia="en-GB"/>
        </w:rPr>
        <w:t xml:space="preserve"> before</w:t>
      </w:r>
      <w:r w:rsidR="007059EA" w:rsidRPr="008937B5">
        <w:rPr>
          <w:b w:val="0"/>
          <w:noProof w:val="0"/>
          <w:sz w:val="24"/>
          <w:szCs w:val="24"/>
          <w:lang w:val="en-US" w:eastAsia="en-GB"/>
        </w:rPr>
        <w:t xml:space="preserve"> the start of the financial year. The Authority provides a framework for the preparation and appraisal of schemes proposed for inclusion in the Capital Plan, appropriate </w:t>
      </w:r>
      <w:proofErr w:type="spellStart"/>
      <w:r w:rsidR="007059EA" w:rsidRPr="008937B5">
        <w:rPr>
          <w:b w:val="0"/>
          <w:noProof w:val="0"/>
          <w:sz w:val="24"/>
          <w:szCs w:val="24"/>
          <w:lang w:val="en-US" w:eastAsia="en-GB"/>
        </w:rPr>
        <w:t>authorisations</w:t>
      </w:r>
      <w:proofErr w:type="spellEnd"/>
      <w:r w:rsidR="007059EA" w:rsidRPr="008937B5">
        <w:rPr>
          <w:b w:val="0"/>
          <w:noProof w:val="0"/>
          <w:sz w:val="24"/>
          <w:szCs w:val="24"/>
          <w:lang w:val="en-US" w:eastAsia="en-GB"/>
        </w:rPr>
        <w:t xml:space="preserve"> for individual schemes to </w:t>
      </w:r>
      <w:proofErr w:type="gramStart"/>
      <w:r w:rsidR="007059EA" w:rsidRPr="008937B5">
        <w:rPr>
          <w:b w:val="0"/>
          <w:noProof w:val="0"/>
          <w:sz w:val="24"/>
          <w:szCs w:val="24"/>
          <w:lang w:val="en-US" w:eastAsia="en-GB"/>
        </w:rPr>
        <w:t>proceed</w:t>
      </w:r>
      <w:proofErr w:type="gramEnd"/>
      <w:r w:rsidR="007059EA" w:rsidRPr="008937B5">
        <w:rPr>
          <w:b w:val="0"/>
          <w:noProof w:val="0"/>
          <w:sz w:val="24"/>
          <w:szCs w:val="24"/>
          <w:lang w:val="en-US" w:eastAsia="en-GB"/>
        </w:rPr>
        <w:t xml:space="preserve"> and facilitate the</w:t>
      </w:r>
      <w:r w:rsidR="007059EA" w:rsidRPr="001533EE">
        <w:rPr>
          <w:b w:val="0"/>
          <w:noProof w:val="0"/>
          <w:sz w:val="24"/>
          <w:szCs w:val="24"/>
          <w:lang w:val="en-US" w:eastAsia="en-GB"/>
        </w:rPr>
        <w:t xml:space="preserve"> overall management of the Capital Programme within defined resource parameters.</w:t>
      </w:r>
    </w:p>
    <w:p w14:paraId="2FDB1F8D" w14:textId="0456299C" w:rsidR="00282567" w:rsidRPr="001533EE" w:rsidRDefault="00282567" w:rsidP="007059EA">
      <w:pPr>
        <w:pStyle w:val="subhead"/>
        <w:spacing w:before="0" w:after="0"/>
        <w:ind w:left="567" w:hanging="567"/>
        <w:rPr>
          <w:b w:val="0"/>
          <w:noProof w:val="0"/>
          <w:sz w:val="24"/>
          <w:szCs w:val="24"/>
          <w:lang w:val="en-US" w:eastAsia="en-GB"/>
        </w:rPr>
      </w:pPr>
    </w:p>
    <w:p w14:paraId="56219788" w14:textId="586C74DE" w:rsidR="00282567" w:rsidRPr="001533EE" w:rsidRDefault="00282567" w:rsidP="00282567">
      <w:pPr>
        <w:ind w:left="567" w:hanging="567"/>
        <w:jc w:val="both"/>
        <w:rPr>
          <w:rFonts w:cs="Arial"/>
          <w:sz w:val="24"/>
          <w:szCs w:val="24"/>
          <w:lang w:val="en-US"/>
        </w:rPr>
      </w:pPr>
      <w:r w:rsidRPr="001533EE">
        <w:rPr>
          <w:rFonts w:cs="Arial"/>
          <w:sz w:val="24"/>
          <w:szCs w:val="24"/>
          <w:lang w:val="en-US"/>
        </w:rPr>
        <w:t>4.</w:t>
      </w:r>
      <w:r w:rsidR="003B529F" w:rsidRPr="001533EE">
        <w:rPr>
          <w:rFonts w:cs="Arial"/>
          <w:sz w:val="24"/>
          <w:szCs w:val="24"/>
          <w:lang w:val="en-US"/>
        </w:rPr>
        <w:t>4</w:t>
      </w:r>
      <w:r w:rsidRPr="001533EE">
        <w:rPr>
          <w:rFonts w:cs="Arial"/>
          <w:sz w:val="24"/>
          <w:szCs w:val="24"/>
          <w:lang w:val="en-US"/>
        </w:rPr>
        <w:tab/>
        <w:t xml:space="preserve">The </w:t>
      </w:r>
      <w:r w:rsidR="00E80072">
        <w:rPr>
          <w:rFonts w:cs="Arial"/>
          <w:sz w:val="24"/>
          <w:szCs w:val="24"/>
          <w:lang w:val="en-US"/>
        </w:rPr>
        <w:t xml:space="preserve">Deputy s73 </w:t>
      </w:r>
      <w:r w:rsidRPr="001533EE">
        <w:rPr>
          <w:rFonts w:cs="Arial"/>
          <w:sz w:val="24"/>
          <w:szCs w:val="24"/>
          <w:lang w:val="en-US"/>
        </w:rPr>
        <w:t>Officer is responsible for preparing an overall Capital Programme for consideration and approval by the</w:t>
      </w:r>
      <w:r w:rsidR="008937B5">
        <w:rPr>
          <w:rFonts w:cs="Arial"/>
          <w:sz w:val="24"/>
          <w:szCs w:val="24"/>
          <w:lang w:val="en-US"/>
        </w:rPr>
        <w:t xml:space="preserve"> </w:t>
      </w:r>
      <w:proofErr w:type="gramStart"/>
      <w:r w:rsidR="008937B5">
        <w:rPr>
          <w:rFonts w:cs="Arial"/>
          <w:sz w:val="24"/>
          <w:szCs w:val="24"/>
          <w:lang w:val="en-US"/>
        </w:rPr>
        <w:t>Mayor</w:t>
      </w:r>
      <w:proofErr w:type="gramEnd"/>
      <w:r w:rsidRPr="001533EE">
        <w:rPr>
          <w:rFonts w:cs="Arial"/>
          <w:sz w:val="24"/>
          <w:szCs w:val="24"/>
          <w:lang w:val="en-US"/>
        </w:rPr>
        <w:t>, the funding of which being compatible always with the Treasury Management Policy Statement of the Authority. Individual schemes shall only be included in the Capital Plan following a project appraisal process undertaken in accordance with the Code of Corporate Governance.</w:t>
      </w:r>
    </w:p>
    <w:p w14:paraId="4AEEDEFA" w14:textId="77777777" w:rsidR="007059EA" w:rsidRPr="001533EE" w:rsidRDefault="007059EA" w:rsidP="00282567">
      <w:pPr>
        <w:pStyle w:val="subhead"/>
        <w:spacing w:before="0" w:after="0"/>
        <w:rPr>
          <w:b w:val="0"/>
          <w:sz w:val="24"/>
          <w:szCs w:val="24"/>
          <w:lang w:eastAsia="en-GB"/>
        </w:rPr>
      </w:pPr>
    </w:p>
    <w:p w14:paraId="48ED0127" w14:textId="3392C643" w:rsidR="007059EA" w:rsidRPr="001533EE" w:rsidRDefault="007059EA" w:rsidP="007059EA">
      <w:pPr>
        <w:pStyle w:val="subhead"/>
        <w:spacing w:before="0" w:after="0"/>
        <w:ind w:left="567" w:hanging="567"/>
        <w:rPr>
          <w:b w:val="0"/>
          <w:noProof w:val="0"/>
          <w:sz w:val="24"/>
          <w:szCs w:val="24"/>
          <w:lang w:val="en-US" w:eastAsia="en-GB"/>
        </w:rPr>
      </w:pPr>
      <w:r w:rsidRPr="001533EE">
        <w:rPr>
          <w:b w:val="0"/>
          <w:noProof w:val="0"/>
          <w:sz w:val="24"/>
          <w:szCs w:val="24"/>
          <w:lang w:val="en-US" w:eastAsia="en-GB"/>
        </w:rPr>
        <w:tab/>
        <w:t xml:space="preserve">In Year Opportunities can be put forward </w:t>
      </w:r>
      <w:r w:rsidR="009E0C14" w:rsidRPr="001533EE">
        <w:rPr>
          <w:b w:val="0"/>
          <w:noProof w:val="0"/>
          <w:sz w:val="24"/>
          <w:szCs w:val="24"/>
          <w:lang w:val="en-US" w:eastAsia="en-GB"/>
        </w:rPr>
        <w:t xml:space="preserve">to the </w:t>
      </w:r>
      <w:r w:rsidR="00E80072">
        <w:rPr>
          <w:b w:val="0"/>
          <w:noProof w:val="0"/>
          <w:sz w:val="24"/>
          <w:szCs w:val="24"/>
          <w:lang w:val="en-US" w:eastAsia="en-GB"/>
        </w:rPr>
        <w:t xml:space="preserve">Deputy s73 </w:t>
      </w:r>
      <w:r w:rsidR="009E0C14" w:rsidRPr="001533EE">
        <w:rPr>
          <w:b w:val="0"/>
          <w:noProof w:val="0"/>
          <w:sz w:val="24"/>
          <w:szCs w:val="24"/>
          <w:lang w:val="en-US" w:eastAsia="en-GB"/>
        </w:rPr>
        <w:t xml:space="preserve">Officer </w:t>
      </w:r>
      <w:r w:rsidRPr="001533EE">
        <w:rPr>
          <w:b w:val="0"/>
          <w:noProof w:val="0"/>
          <w:sz w:val="24"/>
          <w:szCs w:val="24"/>
          <w:lang w:val="en-US" w:eastAsia="en-GB"/>
        </w:rPr>
        <w:t xml:space="preserve">for entry into the capital </w:t>
      </w:r>
      <w:proofErr w:type="spellStart"/>
      <w:r w:rsidRPr="001533EE">
        <w:rPr>
          <w:b w:val="0"/>
          <w:noProof w:val="0"/>
          <w:sz w:val="24"/>
          <w:szCs w:val="24"/>
          <w:lang w:val="en-US" w:eastAsia="en-GB"/>
        </w:rPr>
        <w:t>programme</w:t>
      </w:r>
      <w:proofErr w:type="spellEnd"/>
      <w:r w:rsidRPr="001533EE">
        <w:rPr>
          <w:b w:val="0"/>
          <w:noProof w:val="0"/>
          <w:sz w:val="24"/>
          <w:szCs w:val="24"/>
          <w:lang w:val="en-US" w:eastAsia="en-GB"/>
        </w:rPr>
        <w:t xml:space="preserve"> in a managed way </w:t>
      </w:r>
      <w:r w:rsidR="009E0C14" w:rsidRPr="001533EE">
        <w:rPr>
          <w:b w:val="0"/>
          <w:noProof w:val="0"/>
          <w:sz w:val="24"/>
          <w:szCs w:val="24"/>
          <w:lang w:val="en-US" w:eastAsia="en-GB"/>
        </w:rPr>
        <w:t xml:space="preserve">which will be reported to both the Senior Leadership </w:t>
      </w:r>
      <w:r w:rsidR="00A310D5" w:rsidRPr="001533EE">
        <w:rPr>
          <w:b w:val="0"/>
          <w:noProof w:val="0"/>
          <w:sz w:val="24"/>
          <w:szCs w:val="24"/>
          <w:lang w:val="en-US" w:eastAsia="en-GB"/>
        </w:rPr>
        <w:t>Board</w:t>
      </w:r>
      <w:r w:rsidR="009E0C14" w:rsidRPr="001533EE">
        <w:rPr>
          <w:b w:val="0"/>
          <w:noProof w:val="0"/>
          <w:sz w:val="24"/>
          <w:szCs w:val="24"/>
          <w:lang w:val="en-US" w:eastAsia="en-GB"/>
        </w:rPr>
        <w:t xml:space="preserve"> and </w:t>
      </w:r>
      <w:r w:rsidRPr="001533EE">
        <w:rPr>
          <w:b w:val="0"/>
          <w:noProof w:val="0"/>
          <w:sz w:val="24"/>
          <w:szCs w:val="24"/>
          <w:lang w:val="en-US" w:eastAsia="en-GB"/>
        </w:rPr>
        <w:t>Executive</w:t>
      </w:r>
      <w:r w:rsidR="009E0C14" w:rsidRPr="001533EE">
        <w:rPr>
          <w:b w:val="0"/>
          <w:noProof w:val="0"/>
          <w:sz w:val="24"/>
          <w:szCs w:val="24"/>
          <w:lang w:val="en-US" w:eastAsia="en-GB"/>
        </w:rPr>
        <w:t xml:space="preserve"> Board as part of the regular budget monitoring reporting timetable.</w:t>
      </w:r>
    </w:p>
    <w:p w14:paraId="475207F7" w14:textId="77777777" w:rsidR="007059EA" w:rsidRPr="001533EE" w:rsidRDefault="007059EA" w:rsidP="007059EA">
      <w:pPr>
        <w:pStyle w:val="subhead"/>
        <w:spacing w:before="0" w:after="0"/>
        <w:ind w:left="567" w:hanging="567"/>
        <w:rPr>
          <w:b w:val="0"/>
          <w:noProof w:val="0"/>
          <w:sz w:val="24"/>
          <w:szCs w:val="24"/>
          <w:lang w:val="en-US" w:eastAsia="en-GB"/>
        </w:rPr>
      </w:pPr>
    </w:p>
    <w:p w14:paraId="1721A395" w14:textId="2B4F890D" w:rsidR="007059EA" w:rsidRPr="001533EE" w:rsidRDefault="00282567" w:rsidP="00282567">
      <w:pPr>
        <w:pStyle w:val="subhead"/>
        <w:spacing w:before="0" w:after="0"/>
        <w:ind w:left="567" w:hanging="567"/>
        <w:rPr>
          <w:b w:val="0"/>
          <w:noProof w:val="0"/>
          <w:sz w:val="24"/>
          <w:szCs w:val="24"/>
          <w:lang w:val="en-US" w:eastAsia="en-GB"/>
        </w:rPr>
      </w:pPr>
      <w:r w:rsidRPr="001533EE">
        <w:rPr>
          <w:b w:val="0"/>
          <w:sz w:val="24"/>
          <w:szCs w:val="24"/>
          <w:lang w:eastAsia="en-GB"/>
        </w:rPr>
        <w:t>4.</w:t>
      </w:r>
      <w:r w:rsidR="003B529F" w:rsidRPr="001533EE">
        <w:rPr>
          <w:b w:val="0"/>
          <w:sz w:val="24"/>
          <w:szCs w:val="24"/>
          <w:lang w:eastAsia="en-GB"/>
        </w:rPr>
        <w:t>5</w:t>
      </w:r>
      <w:r w:rsidR="007059EA" w:rsidRPr="001533EE">
        <w:rPr>
          <w:b w:val="0"/>
          <w:sz w:val="24"/>
          <w:szCs w:val="24"/>
          <w:lang w:eastAsia="en-GB"/>
        </w:rPr>
        <w:tab/>
      </w:r>
      <w:r w:rsidR="007059EA" w:rsidRPr="001533EE">
        <w:rPr>
          <w:b w:val="0"/>
          <w:noProof w:val="0"/>
          <w:sz w:val="24"/>
          <w:szCs w:val="24"/>
          <w:lang w:val="en-US" w:eastAsia="en-GB"/>
        </w:rPr>
        <w:t xml:space="preserve">Other long-term liabilities </w:t>
      </w:r>
      <w:r w:rsidR="00397C45" w:rsidRPr="001533EE">
        <w:rPr>
          <w:b w:val="0"/>
          <w:noProof w:val="0"/>
          <w:sz w:val="24"/>
          <w:szCs w:val="24"/>
          <w:lang w:val="en-US" w:eastAsia="en-GB"/>
        </w:rPr>
        <w:t>-</w:t>
      </w:r>
      <w:r w:rsidR="007059EA" w:rsidRPr="001533EE">
        <w:rPr>
          <w:b w:val="0"/>
          <w:noProof w:val="0"/>
          <w:sz w:val="24"/>
          <w:szCs w:val="24"/>
          <w:lang w:val="en-US" w:eastAsia="en-GB"/>
        </w:rPr>
        <w:t xml:space="preserve"> The </w:t>
      </w:r>
      <w:r w:rsidRPr="001533EE">
        <w:rPr>
          <w:b w:val="0"/>
          <w:noProof w:val="0"/>
          <w:sz w:val="24"/>
          <w:szCs w:val="24"/>
          <w:lang w:val="en-US" w:eastAsia="en-GB"/>
        </w:rPr>
        <w:t xml:space="preserve">Authority’s </w:t>
      </w:r>
      <w:r w:rsidR="007059EA" w:rsidRPr="001533EE">
        <w:rPr>
          <w:b w:val="0"/>
          <w:noProof w:val="0"/>
          <w:sz w:val="24"/>
          <w:szCs w:val="24"/>
          <w:lang w:val="en-US" w:eastAsia="en-GB"/>
        </w:rPr>
        <w:t xml:space="preserve">Financial Procedure Rules </w:t>
      </w:r>
      <w:r w:rsidRPr="001533EE">
        <w:rPr>
          <w:b w:val="0"/>
          <w:noProof w:val="0"/>
          <w:sz w:val="24"/>
          <w:szCs w:val="24"/>
          <w:lang w:val="en-US" w:eastAsia="en-GB"/>
        </w:rPr>
        <w:t xml:space="preserve">provide </w:t>
      </w:r>
      <w:r w:rsidR="007059EA" w:rsidRPr="001533EE">
        <w:rPr>
          <w:b w:val="0"/>
          <w:noProof w:val="0"/>
          <w:sz w:val="24"/>
          <w:szCs w:val="24"/>
          <w:lang w:val="en-US" w:eastAsia="en-GB"/>
        </w:rPr>
        <w:t>a framework for the appraisal and approval of schemes including where this is delivered by means of PFI contracts or leasing arrangements. This framework includes the ongoing monitoring and risk management of long-term liabilities taken to deliver operational services</w:t>
      </w:r>
      <w:r w:rsidRPr="001533EE">
        <w:rPr>
          <w:b w:val="0"/>
          <w:noProof w:val="0"/>
          <w:sz w:val="24"/>
          <w:szCs w:val="24"/>
          <w:lang w:val="en-US" w:eastAsia="en-GB"/>
        </w:rPr>
        <w:t>.</w:t>
      </w:r>
    </w:p>
    <w:p w14:paraId="6FE0224A" w14:textId="04906A6C" w:rsidR="00282567" w:rsidRPr="001533EE" w:rsidRDefault="00282567" w:rsidP="00282567">
      <w:pPr>
        <w:pStyle w:val="subhead"/>
        <w:spacing w:before="0" w:after="0"/>
        <w:ind w:left="567" w:hanging="567"/>
        <w:rPr>
          <w:b w:val="0"/>
          <w:noProof w:val="0"/>
          <w:sz w:val="24"/>
          <w:szCs w:val="24"/>
          <w:lang w:val="en-US" w:eastAsia="en-GB"/>
        </w:rPr>
      </w:pPr>
    </w:p>
    <w:p w14:paraId="267E076C" w14:textId="4F878829" w:rsidR="00282567" w:rsidRPr="001533EE" w:rsidRDefault="00282567" w:rsidP="00282567">
      <w:pPr>
        <w:ind w:left="567" w:right="176" w:hanging="567"/>
        <w:jc w:val="both"/>
        <w:rPr>
          <w:rFonts w:cs="Arial"/>
          <w:sz w:val="24"/>
          <w:szCs w:val="24"/>
          <w:lang w:val="en-US"/>
        </w:rPr>
      </w:pPr>
      <w:r w:rsidRPr="001533EE">
        <w:rPr>
          <w:rFonts w:cs="Arial"/>
          <w:sz w:val="24"/>
          <w:szCs w:val="24"/>
          <w:lang w:val="en-US"/>
        </w:rPr>
        <w:t>4.</w:t>
      </w:r>
      <w:r w:rsidR="003B529F" w:rsidRPr="001533EE">
        <w:rPr>
          <w:rFonts w:cs="Arial"/>
          <w:sz w:val="24"/>
          <w:szCs w:val="24"/>
          <w:lang w:val="en-US"/>
        </w:rPr>
        <w:t>6</w:t>
      </w:r>
      <w:r w:rsidRPr="001533EE">
        <w:rPr>
          <w:rFonts w:cs="Arial"/>
          <w:sz w:val="24"/>
          <w:szCs w:val="24"/>
          <w:lang w:val="en-US"/>
        </w:rPr>
        <w:tab/>
        <w:t xml:space="preserve">The Prudential Code requires the </w:t>
      </w:r>
      <w:r w:rsidR="00E80072">
        <w:rPr>
          <w:rFonts w:cs="Arial"/>
          <w:sz w:val="24"/>
          <w:szCs w:val="24"/>
          <w:lang w:val="en-US"/>
        </w:rPr>
        <w:t>Deputy s73</w:t>
      </w:r>
      <w:r w:rsidRPr="001533EE">
        <w:rPr>
          <w:rFonts w:cs="Arial"/>
          <w:sz w:val="24"/>
          <w:szCs w:val="24"/>
          <w:lang w:val="en-US"/>
        </w:rPr>
        <w:t xml:space="preserve"> Officer to report explicitly on the affordability and risk associated with the Capital Strategy via the reporting arrangements set out within. </w:t>
      </w:r>
    </w:p>
    <w:p w14:paraId="0407E21D" w14:textId="5745D337" w:rsidR="007059EA" w:rsidRDefault="007059EA" w:rsidP="00282567">
      <w:pPr>
        <w:pStyle w:val="subhead"/>
        <w:spacing w:before="0" w:after="0"/>
        <w:jc w:val="left"/>
        <w:rPr>
          <w:b w:val="0"/>
          <w:sz w:val="24"/>
          <w:szCs w:val="24"/>
          <w:lang w:eastAsia="en-GB"/>
        </w:rPr>
      </w:pPr>
    </w:p>
    <w:p w14:paraId="687DB0D6" w14:textId="77777777" w:rsidR="00B55944" w:rsidRDefault="00B55944" w:rsidP="00282567">
      <w:pPr>
        <w:pStyle w:val="subhead"/>
        <w:spacing w:before="0" w:after="0"/>
        <w:jc w:val="left"/>
        <w:rPr>
          <w:b w:val="0"/>
          <w:sz w:val="24"/>
          <w:szCs w:val="24"/>
          <w:lang w:eastAsia="en-GB"/>
        </w:rPr>
      </w:pPr>
    </w:p>
    <w:p w14:paraId="4E45AEA6" w14:textId="77777777" w:rsidR="00B55944" w:rsidRPr="001533EE" w:rsidRDefault="00B55944" w:rsidP="00282567">
      <w:pPr>
        <w:pStyle w:val="subhead"/>
        <w:spacing w:before="0" w:after="0"/>
        <w:jc w:val="left"/>
        <w:rPr>
          <w:b w:val="0"/>
          <w:sz w:val="24"/>
          <w:szCs w:val="24"/>
          <w:lang w:eastAsia="en-GB"/>
        </w:rPr>
      </w:pPr>
    </w:p>
    <w:p w14:paraId="2CC4DAB2" w14:textId="77777777" w:rsidR="00E9045D" w:rsidRPr="001533EE" w:rsidRDefault="00E9045D" w:rsidP="00282567">
      <w:pPr>
        <w:pStyle w:val="subhead"/>
        <w:spacing w:before="0" w:after="0"/>
        <w:jc w:val="left"/>
        <w:rPr>
          <w:bCs/>
          <w:sz w:val="24"/>
          <w:szCs w:val="24"/>
          <w:lang w:eastAsia="en-GB"/>
        </w:rPr>
      </w:pPr>
    </w:p>
    <w:p w14:paraId="3D7A2A22" w14:textId="02D1EDED" w:rsidR="007059EA" w:rsidRPr="001533EE" w:rsidRDefault="00282567" w:rsidP="007059EA">
      <w:pPr>
        <w:pStyle w:val="subhead"/>
        <w:spacing w:before="0" w:after="0"/>
        <w:ind w:left="567" w:hanging="567"/>
        <w:jc w:val="left"/>
        <w:rPr>
          <w:bCs/>
          <w:sz w:val="24"/>
          <w:szCs w:val="24"/>
          <w:lang w:eastAsia="en-GB"/>
        </w:rPr>
      </w:pPr>
      <w:r w:rsidRPr="001533EE">
        <w:rPr>
          <w:bCs/>
          <w:sz w:val="24"/>
          <w:szCs w:val="24"/>
          <w:lang w:eastAsia="en-GB"/>
        </w:rPr>
        <w:t>5.0</w:t>
      </w:r>
      <w:r w:rsidR="007059EA" w:rsidRPr="001533EE">
        <w:rPr>
          <w:bCs/>
          <w:sz w:val="24"/>
          <w:szCs w:val="24"/>
          <w:lang w:eastAsia="en-GB"/>
        </w:rPr>
        <w:tab/>
        <w:t>SKILLS AND TRAINING</w:t>
      </w:r>
    </w:p>
    <w:p w14:paraId="12AF2BA7" w14:textId="77777777" w:rsidR="007059EA" w:rsidRPr="001533EE" w:rsidRDefault="007059EA" w:rsidP="007059EA">
      <w:pPr>
        <w:pStyle w:val="subhead"/>
        <w:spacing w:before="0" w:after="0"/>
        <w:ind w:left="567" w:hanging="567"/>
        <w:jc w:val="left"/>
        <w:rPr>
          <w:b w:val="0"/>
          <w:sz w:val="24"/>
          <w:szCs w:val="24"/>
          <w:lang w:eastAsia="en-GB"/>
        </w:rPr>
      </w:pPr>
    </w:p>
    <w:p w14:paraId="652A5C37" w14:textId="511A01C3" w:rsidR="007059EA" w:rsidRPr="001533EE" w:rsidRDefault="00282567" w:rsidP="007059EA">
      <w:pPr>
        <w:pStyle w:val="subhead"/>
        <w:spacing w:before="0" w:after="0"/>
        <w:ind w:left="567" w:hanging="567"/>
        <w:rPr>
          <w:b w:val="0"/>
          <w:sz w:val="24"/>
          <w:szCs w:val="24"/>
          <w:lang w:eastAsia="en-GB"/>
        </w:rPr>
      </w:pPr>
      <w:r w:rsidRPr="001533EE">
        <w:rPr>
          <w:b w:val="0"/>
          <w:sz w:val="24"/>
          <w:szCs w:val="24"/>
          <w:lang w:eastAsia="en-GB"/>
        </w:rPr>
        <w:t>5</w:t>
      </w:r>
      <w:r w:rsidR="007059EA" w:rsidRPr="001533EE">
        <w:rPr>
          <w:b w:val="0"/>
          <w:sz w:val="24"/>
          <w:szCs w:val="24"/>
          <w:lang w:eastAsia="en-GB"/>
        </w:rPr>
        <w:t>.1</w:t>
      </w:r>
      <w:r w:rsidR="007059EA" w:rsidRPr="001533EE">
        <w:rPr>
          <w:b w:val="0"/>
          <w:sz w:val="24"/>
          <w:szCs w:val="24"/>
          <w:lang w:eastAsia="en-GB"/>
        </w:rPr>
        <w:tab/>
        <w:t xml:space="preserve">All capital investment approvals are subject to robust consideration and challenge by </w:t>
      </w:r>
      <w:r w:rsidRPr="001533EE">
        <w:rPr>
          <w:b w:val="0"/>
          <w:sz w:val="24"/>
          <w:szCs w:val="24"/>
          <w:lang w:eastAsia="en-GB"/>
        </w:rPr>
        <w:t xml:space="preserve">Officers </w:t>
      </w:r>
      <w:r w:rsidR="007059EA" w:rsidRPr="001533EE">
        <w:rPr>
          <w:b w:val="0"/>
          <w:sz w:val="24"/>
          <w:szCs w:val="24"/>
          <w:lang w:eastAsia="en-GB"/>
        </w:rPr>
        <w:t xml:space="preserve">with extensive Local Government experience </w:t>
      </w:r>
      <w:r w:rsidRPr="001533EE">
        <w:rPr>
          <w:b w:val="0"/>
          <w:sz w:val="24"/>
          <w:szCs w:val="24"/>
          <w:lang w:eastAsia="en-GB"/>
        </w:rPr>
        <w:t xml:space="preserve">and </w:t>
      </w:r>
      <w:r w:rsidR="007059EA" w:rsidRPr="001533EE">
        <w:rPr>
          <w:b w:val="0"/>
          <w:sz w:val="24"/>
          <w:szCs w:val="24"/>
          <w:lang w:eastAsia="en-GB"/>
        </w:rPr>
        <w:t>from varying professional backgrounds.</w:t>
      </w:r>
    </w:p>
    <w:p w14:paraId="25208CD0" w14:textId="77777777" w:rsidR="007059EA" w:rsidRPr="001533EE" w:rsidRDefault="007059EA" w:rsidP="007059EA">
      <w:pPr>
        <w:pStyle w:val="subhead"/>
        <w:spacing w:before="0" w:after="0"/>
        <w:ind w:left="567" w:hanging="567"/>
        <w:rPr>
          <w:b w:val="0"/>
          <w:sz w:val="24"/>
          <w:szCs w:val="24"/>
          <w:lang w:eastAsia="en-GB"/>
        </w:rPr>
      </w:pPr>
    </w:p>
    <w:p w14:paraId="6CC6D170" w14:textId="3AAD2218" w:rsidR="007059EA" w:rsidRPr="001533EE" w:rsidRDefault="00282567" w:rsidP="007059EA">
      <w:pPr>
        <w:pStyle w:val="subhead"/>
        <w:spacing w:before="0" w:after="0"/>
        <w:ind w:left="567" w:hanging="567"/>
        <w:rPr>
          <w:b w:val="0"/>
          <w:sz w:val="24"/>
          <w:szCs w:val="24"/>
          <w:lang w:eastAsia="en-GB"/>
        </w:rPr>
      </w:pPr>
      <w:r w:rsidRPr="001533EE">
        <w:rPr>
          <w:b w:val="0"/>
          <w:sz w:val="24"/>
          <w:szCs w:val="24"/>
          <w:lang w:eastAsia="en-GB"/>
        </w:rPr>
        <w:t>5</w:t>
      </w:r>
      <w:r w:rsidR="007059EA" w:rsidRPr="001533EE">
        <w:rPr>
          <w:b w:val="0"/>
          <w:sz w:val="24"/>
          <w:szCs w:val="24"/>
          <w:lang w:eastAsia="en-GB"/>
        </w:rPr>
        <w:t>.2</w:t>
      </w:r>
      <w:r w:rsidR="007059EA" w:rsidRPr="001533EE">
        <w:rPr>
          <w:b w:val="0"/>
          <w:sz w:val="24"/>
          <w:szCs w:val="24"/>
          <w:lang w:eastAsia="en-GB"/>
        </w:rPr>
        <w:tab/>
        <w:t xml:space="preserve">The </w:t>
      </w:r>
      <w:r w:rsidRPr="001533EE">
        <w:rPr>
          <w:b w:val="0"/>
          <w:sz w:val="24"/>
          <w:szCs w:val="24"/>
          <w:lang w:eastAsia="en-GB"/>
        </w:rPr>
        <w:t xml:space="preserve">Authority </w:t>
      </w:r>
      <w:r w:rsidR="007059EA" w:rsidRPr="001533EE">
        <w:rPr>
          <w:b w:val="0"/>
          <w:sz w:val="24"/>
          <w:szCs w:val="24"/>
          <w:lang w:eastAsia="en-GB"/>
        </w:rPr>
        <w:t xml:space="preserve">employs professionally qualified and experienced staff in senior positions with responsibility for making capital expenditure, borrowing and investment decisions. The </w:t>
      </w:r>
      <w:r w:rsidR="00397C45" w:rsidRPr="001533EE">
        <w:rPr>
          <w:b w:val="0"/>
          <w:sz w:val="24"/>
          <w:szCs w:val="24"/>
          <w:lang w:eastAsia="en-GB"/>
        </w:rPr>
        <w:t xml:space="preserve">Authority </w:t>
      </w:r>
      <w:r w:rsidR="007059EA" w:rsidRPr="001533EE">
        <w:rPr>
          <w:b w:val="0"/>
          <w:sz w:val="24"/>
          <w:szCs w:val="24"/>
          <w:lang w:eastAsia="en-GB"/>
        </w:rPr>
        <w:t>requires finance staff to maintain relevant professional qualifications</w:t>
      </w:r>
      <w:r w:rsidR="00602652">
        <w:rPr>
          <w:b w:val="0"/>
          <w:sz w:val="24"/>
          <w:szCs w:val="24"/>
          <w:lang w:eastAsia="en-GB"/>
        </w:rPr>
        <w:t xml:space="preserve">. </w:t>
      </w:r>
      <w:r w:rsidR="007059EA" w:rsidRPr="001533EE">
        <w:rPr>
          <w:b w:val="0"/>
          <w:sz w:val="24"/>
          <w:szCs w:val="24"/>
          <w:lang w:eastAsia="en-GB"/>
        </w:rPr>
        <w:t xml:space="preserve">All officers attend courses on an ongoing basis to keep abreast of new developments and skills to ensure their Continuous Professional Development. </w:t>
      </w:r>
    </w:p>
    <w:p w14:paraId="225DB9A3" w14:textId="77777777" w:rsidR="007059EA" w:rsidRPr="001533EE" w:rsidRDefault="007059EA" w:rsidP="007059EA">
      <w:pPr>
        <w:pStyle w:val="subhead"/>
        <w:spacing w:before="0" w:after="0"/>
        <w:ind w:left="567" w:hanging="567"/>
        <w:rPr>
          <w:b w:val="0"/>
          <w:sz w:val="24"/>
          <w:szCs w:val="24"/>
          <w:lang w:eastAsia="en-GB"/>
        </w:rPr>
      </w:pPr>
    </w:p>
    <w:p w14:paraId="00A7771D" w14:textId="0305E250" w:rsidR="007059EA" w:rsidRPr="001533EE" w:rsidRDefault="00282567" w:rsidP="007059EA">
      <w:pPr>
        <w:pStyle w:val="subhead"/>
        <w:spacing w:before="0" w:after="0"/>
        <w:ind w:left="567" w:hanging="567"/>
        <w:rPr>
          <w:b w:val="0"/>
          <w:sz w:val="24"/>
          <w:szCs w:val="24"/>
          <w:lang w:eastAsia="en-GB"/>
        </w:rPr>
      </w:pPr>
      <w:r w:rsidRPr="001533EE">
        <w:rPr>
          <w:b w:val="0"/>
          <w:sz w:val="24"/>
          <w:szCs w:val="24"/>
          <w:lang w:eastAsia="en-GB"/>
        </w:rPr>
        <w:t>5</w:t>
      </w:r>
      <w:r w:rsidR="007059EA" w:rsidRPr="001533EE">
        <w:rPr>
          <w:b w:val="0"/>
          <w:sz w:val="24"/>
          <w:szCs w:val="24"/>
          <w:lang w:eastAsia="en-GB"/>
        </w:rPr>
        <w:t>.3</w:t>
      </w:r>
      <w:r w:rsidR="007059EA" w:rsidRPr="001533EE">
        <w:rPr>
          <w:b w:val="0"/>
          <w:sz w:val="24"/>
          <w:szCs w:val="24"/>
          <w:lang w:eastAsia="en-GB"/>
        </w:rPr>
        <w:tab/>
        <w:t xml:space="preserve">Where staff do not have the specialist knowledge and skills required, use is made of external advisers and consultants that are experts in their field. </w:t>
      </w:r>
    </w:p>
    <w:p w14:paraId="4C8C19D0" w14:textId="35C70F03" w:rsidR="00BC700D" w:rsidRPr="001533EE" w:rsidRDefault="00BC700D" w:rsidP="00BC700D">
      <w:pPr>
        <w:pStyle w:val="subhead"/>
        <w:spacing w:before="0" w:after="0"/>
        <w:ind w:left="567"/>
        <w:rPr>
          <w:b w:val="0"/>
          <w:sz w:val="24"/>
          <w:szCs w:val="24"/>
          <w:lang w:eastAsia="en-GB"/>
        </w:rPr>
      </w:pPr>
    </w:p>
    <w:p w14:paraId="3097C6C0" w14:textId="49B0735D" w:rsidR="00BC700D" w:rsidRPr="001533EE" w:rsidRDefault="00BC700D" w:rsidP="00BC700D">
      <w:pPr>
        <w:pStyle w:val="subhead"/>
        <w:spacing w:before="0" w:after="0"/>
        <w:ind w:left="567"/>
        <w:rPr>
          <w:b w:val="0"/>
          <w:sz w:val="24"/>
          <w:szCs w:val="24"/>
          <w:lang w:eastAsia="en-GB"/>
        </w:rPr>
      </w:pPr>
    </w:p>
    <w:p w14:paraId="114698CB" w14:textId="5C606DB3" w:rsidR="00BC700D" w:rsidRPr="001533EE" w:rsidRDefault="00BC700D" w:rsidP="00BC700D">
      <w:pPr>
        <w:pStyle w:val="subhead"/>
        <w:spacing w:before="0" w:after="0"/>
        <w:ind w:left="567"/>
        <w:rPr>
          <w:b w:val="0"/>
          <w:sz w:val="24"/>
          <w:szCs w:val="24"/>
          <w:lang w:eastAsia="en-GB"/>
        </w:rPr>
      </w:pPr>
    </w:p>
    <w:p w14:paraId="7A5D5094" w14:textId="68E934D3" w:rsidR="00BC700D" w:rsidRPr="001533EE" w:rsidRDefault="00BC700D" w:rsidP="00BC700D">
      <w:pPr>
        <w:pStyle w:val="subhead"/>
        <w:spacing w:before="0" w:after="0"/>
        <w:ind w:left="567"/>
        <w:rPr>
          <w:b w:val="0"/>
          <w:sz w:val="24"/>
          <w:szCs w:val="24"/>
          <w:lang w:eastAsia="en-GB"/>
        </w:rPr>
      </w:pPr>
    </w:p>
    <w:p w14:paraId="559C749E" w14:textId="6E32B5CD" w:rsidR="00BC700D" w:rsidRPr="001533EE" w:rsidRDefault="00BC700D" w:rsidP="00BC700D">
      <w:pPr>
        <w:pStyle w:val="subhead"/>
        <w:spacing w:before="0" w:after="0"/>
        <w:ind w:left="567"/>
        <w:rPr>
          <w:b w:val="0"/>
          <w:sz w:val="24"/>
          <w:szCs w:val="24"/>
          <w:lang w:eastAsia="en-GB"/>
        </w:rPr>
      </w:pPr>
    </w:p>
    <w:p w14:paraId="2A756299" w14:textId="74545B6D" w:rsidR="00BC700D" w:rsidRPr="001533EE" w:rsidRDefault="00BC700D" w:rsidP="00BC700D">
      <w:pPr>
        <w:pStyle w:val="subhead"/>
        <w:spacing w:before="0" w:after="0"/>
        <w:ind w:left="567"/>
        <w:rPr>
          <w:b w:val="0"/>
          <w:sz w:val="24"/>
          <w:szCs w:val="24"/>
          <w:lang w:eastAsia="en-GB"/>
        </w:rPr>
      </w:pPr>
    </w:p>
    <w:p w14:paraId="63444840" w14:textId="4D94AF91" w:rsidR="00BC700D" w:rsidRPr="001533EE" w:rsidRDefault="00BC700D" w:rsidP="00BC700D">
      <w:pPr>
        <w:pStyle w:val="subhead"/>
        <w:spacing w:before="0" w:after="0"/>
        <w:ind w:left="567"/>
        <w:rPr>
          <w:b w:val="0"/>
          <w:sz w:val="24"/>
          <w:szCs w:val="24"/>
          <w:lang w:eastAsia="en-GB"/>
        </w:rPr>
      </w:pPr>
    </w:p>
    <w:p w14:paraId="5C20323A" w14:textId="5A33D221" w:rsidR="00BC700D" w:rsidRPr="001533EE" w:rsidRDefault="00BC700D" w:rsidP="00BC700D">
      <w:pPr>
        <w:pStyle w:val="subhead"/>
        <w:spacing w:before="0" w:after="0"/>
        <w:ind w:left="567"/>
        <w:rPr>
          <w:b w:val="0"/>
          <w:sz w:val="24"/>
          <w:szCs w:val="24"/>
          <w:lang w:eastAsia="en-GB"/>
        </w:rPr>
      </w:pPr>
    </w:p>
    <w:p w14:paraId="11112DE2" w14:textId="5B19EE2C" w:rsidR="00BC700D" w:rsidRPr="001533EE" w:rsidRDefault="00BC700D" w:rsidP="00BC700D">
      <w:pPr>
        <w:pStyle w:val="subhead"/>
        <w:spacing w:before="0" w:after="0"/>
        <w:ind w:left="567"/>
        <w:rPr>
          <w:b w:val="0"/>
          <w:sz w:val="24"/>
          <w:szCs w:val="24"/>
          <w:lang w:eastAsia="en-GB"/>
        </w:rPr>
      </w:pPr>
    </w:p>
    <w:p w14:paraId="51C1F577" w14:textId="6D4D1322" w:rsidR="00DA2535" w:rsidRPr="001533EE" w:rsidRDefault="00DA2535" w:rsidP="00282567">
      <w:pPr>
        <w:pStyle w:val="ListParagraph"/>
        <w:ind w:right="176"/>
        <w:contextualSpacing w:val="0"/>
        <w:jc w:val="both"/>
        <w:rPr>
          <w:rFonts w:cs="Arial"/>
          <w:sz w:val="24"/>
          <w:szCs w:val="24"/>
        </w:rPr>
      </w:pPr>
    </w:p>
    <w:sectPr w:rsidR="00DA2535" w:rsidRPr="001533EE" w:rsidSect="00BD7A6D">
      <w:headerReference w:type="even" r:id="rId27"/>
      <w:headerReference w:type="default" r:id="rId28"/>
      <w:footerReference w:type="even" r:id="rId29"/>
      <w:footerReference w:type="default" r:id="rId30"/>
      <w:headerReference w:type="first" r:id="rId31"/>
      <w:footerReference w:type="first" r:id="rId32"/>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FD13B" w14:textId="77777777" w:rsidR="00444838" w:rsidRDefault="00444838">
      <w:r>
        <w:separator/>
      </w:r>
    </w:p>
  </w:endnote>
  <w:endnote w:type="continuationSeparator" w:id="0">
    <w:p w14:paraId="62E03283" w14:textId="77777777" w:rsidR="00444838" w:rsidRDefault="00444838">
      <w:r>
        <w:continuationSeparator/>
      </w:r>
    </w:p>
  </w:endnote>
  <w:endnote w:type="continuationNotice" w:id="1">
    <w:p w14:paraId="41F706C4" w14:textId="77777777" w:rsidR="00444838" w:rsidRDefault="004448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AF493" w14:textId="77777777" w:rsidR="00BD7A6D" w:rsidRDefault="00BD7A6D" w:rsidP="00BD7A6D">
    <w:pPr>
      <w:pStyle w:val="Footer"/>
      <w:rPr>
        <w:color w:val="000000"/>
        <w:sz w:val="17"/>
      </w:rPr>
    </w:pPr>
    <w:bookmarkStart w:id="35" w:name="TITUS2FooterEvenPages"/>
    <w:r w:rsidRPr="00BD7A6D">
      <w:rPr>
        <w:color w:val="000000"/>
        <w:sz w:val="17"/>
      </w:rPr>
      <w:t> </w:t>
    </w:r>
  </w:p>
  <w:bookmarkEnd w:id="35"/>
  <w:p w14:paraId="38E576C8" w14:textId="77777777" w:rsidR="00BD7A6D" w:rsidRDefault="00BD7A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51BA7" w14:textId="77777777" w:rsidR="00683191" w:rsidRDefault="00BD7A6D" w:rsidP="00BD7A6D">
    <w:pPr>
      <w:pStyle w:val="Footer"/>
      <w:rPr>
        <w:color w:val="000000"/>
        <w:sz w:val="17"/>
      </w:rPr>
    </w:pPr>
    <w:bookmarkStart w:id="36" w:name="TITUS2FooterPrimary"/>
    <w:r w:rsidRPr="00BD7A6D">
      <w:rPr>
        <w:color w:val="000000"/>
        <w:sz w:val="17"/>
      </w:rPr>
      <w:t> </w:t>
    </w:r>
  </w:p>
  <w:bookmarkEnd w:id="36"/>
  <w:p w14:paraId="0052CEAE" w14:textId="77777777" w:rsidR="00BD7A6D" w:rsidRPr="005F1306" w:rsidRDefault="00BD7A6D" w:rsidP="005F13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7D531" w14:textId="77777777" w:rsidR="00BD7A6D" w:rsidRDefault="00BD7A6D" w:rsidP="00BD7A6D">
    <w:pPr>
      <w:pStyle w:val="Footer"/>
      <w:rPr>
        <w:color w:val="000000"/>
        <w:sz w:val="17"/>
      </w:rPr>
    </w:pPr>
    <w:bookmarkStart w:id="38" w:name="TITUS2FooterFirstPage"/>
    <w:r w:rsidRPr="00BD7A6D">
      <w:rPr>
        <w:color w:val="000000"/>
        <w:sz w:val="17"/>
      </w:rPr>
      <w:t> </w:t>
    </w:r>
  </w:p>
  <w:bookmarkEnd w:id="38"/>
  <w:p w14:paraId="1B8A9CD5" w14:textId="77777777" w:rsidR="00BD7A6D" w:rsidRPr="005F1306" w:rsidRDefault="00BD7A6D" w:rsidP="00BD7A6D">
    <w:pPr>
      <w:pStyle w:val="Footer"/>
    </w:pPr>
  </w:p>
  <w:p w14:paraId="2FAF5DAA" w14:textId="77777777" w:rsidR="00BD7A6D" w:rsidRDefault="00BD7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A5F46" w14:textId="77777777" w:rsidR="00444838" w:rsidRDefault="00444838">
      <w:r>
        <w:separator/>
      </w:r>
    </w:p>
  </w:footnote>
  <w:footnote w:type="continuationSeparator" w:id="0">
    <w:p w14:paraId="5CE0D80A" w14:textId="77777777" w:rsidR="00444838" w:rsidRDefault="00444838">
      <w:r>
        <w:continuationSeparator/>
      </w:r>
    </w:p>
  </w:footnote>
  <w:footnote w:type="continuationNotice" w:id="1">
    <w:p w14:paraId="2402E6D7" w14:textId="77777777" w:rsidR="00444838" w:rsidRDefault="004448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37F0D" w14:textId="77777777" w:rsidR="00BD7A6D" w:rsidRDefault="00BD7A6D" w:rsidP="00BD7A6D">
    <w:pPr>
      <w:pStyle w:val="Header"/>
      <w:rPr>
        <w:color w:val="000000"/>
        <w:sz w:val="17"/>
      </w:rPr>
    </w:pPr>
    <w:bookmarkStart w:id="33" w:name="TITUS2HeaderEvenPages"/>
    <w:r w:rsidRPr="00BD7A6D">
      <w:rPr>
        <w:color w:val="000000"/>
        <w:sz w:val="17"/>
      </w:rPr>
      <w:t> </w:t>
    </w:r>
  </w:p>
  <w:bookmarkEnd w:id="33"/>
  <w:p w14:paraId="262DF449" w14:textId="77777777" w:rsidR="00BD7A6D" w:rsidRDefault="00BD7A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7040C" w14:textId="77777777" w:rsidR="00BD7A6D" w:rsidRDefault="00BD7A6D" w:rsidP="00BD7A6D">
    <w:pPr>
      <w:pStyle w:val="Header"/>
      <w:rPr>
        <w:color w:val="000000"/>
        <w:sz w:val="17"/>
      </w:rPr>
    </w:pPr>
    <w:bookmarkStart w:id="34" w:name="TITUS2HeaderPrimary"/>
    <w:r w:rsidRPr="00BD7A6D">
      <w:rPr>
        <w:color w:val="000000"/>
        <w:sz w:val="17"/>
      </w:rPr>
      <w:t> </w:t>
    </w:r>
  </w:p>
  <w:bookmarkEnd w:id="34"/>
  <w:p w14:paraId="7BB3262F" w14:textId="77777777" w:rsidR="00BD7A6D" w:rsidRDefault="00BD7A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04655" w14:textId="77777777" w:rsidR="00BD7A6D" w:rsidRDefault="00BD7A6D" w:rsidP="00BD7A6D">
    <w:pPr>
      <w:pStyle w:val="Header"/>
      <w:rPr>
        <w:color w:val="000000"/>
        <w:sz w:val="17"/>
      </w:rPr>
    </w:pPr>
    <w:bookmarkStart w:id="37" w:name="TITUS2HeaderFirstPage"/>
    <w:r w:rsidRPr="00BD7A6D">
      <w:rPr>
        <w:color w:val="000000"/>
        <w:sz w:val="17"/>
      </w:rPr>
      <w:t> </w:t>
    </w:r>
  </w:p>
  <w:bookmarkEnd w:id="37"/>
  <w:p w14:paraId="7B5705C0" w14:textId="77777777" w:rsidR="00BD7A6D" w:rsidRDefault="00BD7A6D" w:rsidP="00BD7A6D">
    <w:pPr>
      <w:pStyle w:val="Header"/>
    </w:pPr>
  </w:p>
  <w:p w14:paraId="54848CC3" w14:textId="77777777" w:rsidR="00BD7A6D" w:rsidRDefault="00BD7A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C821282"/>
    <w:lvl w:ilvl="0">
      <w:start w:val="1"/>
      <w:numFmt w:val="bullet"/>
      <w:pStyle w:val="ListBullet"/>
      <w:lvlText w:val=""/>
      <w:lvlJc w:val="left"/>
      <w:pPr>
        <w:tabs>
          <w:tab w:val="num" w:pos="710"/>
        </w:tabs>
        <w:ind w:left="710" w:hanging="360"/>
      </w:pPr>
      <w:rPr>
        <w:rFonts w:ascii="Symbol" w:hAnsi="Symbol" w:hint="default"/>
      </w:rPr>
    </w:lvl>
  </w:abstractNum>
  <w:abstractNum w:abstractNumId="1" w15:restartNumberingAfterBreak="0">
    <w:nsid w:val="004052FE"/>
    <w:multiLevelType w:val="hybridMultilevel"/>
    <w:tmpl w:val="4D2CE70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 w15:restartNumberingAfterBreak="0">
    <w:nsid w:val="01181662"/>
    <w:multiLevelType w:val="multilevel"/>
    <w:tmpl w:val="24A05DA4"/>
    <w:lvl w:ilvl="0">
      <w:numFmt w:val="decimal"/>
      <w:lvlText w:val="2.%1"/>
      <w:lvlJc w:val="left"/>
      <w:pPr>
        <w:ind w:left="786" w:hanging="360"/>
      </w:pPr>
      <w:rPr>
        <w:rFonts w:ascii="Arial" w:hAnsi="Arial" w:cs="Times New Roman" w:hint="default"/>
        <w:b w:val="0"/>
        <w:i w:val="0"/>
        <w:color w:val="auto"/>
        <w:sz w:val="24"/>
      </w:rPr>
    </w:lvl>
    <w:lvl w:ilvl="1">
      <w:start w:val="1"/>
      <w:numFmt w:val="lowerLetter"/>
      <w:lvlText w:val="%2)"/>
      <w:lvlJc w:val="left"/>
      <w:pPr>
        <w:ind w:left="1440" w:hanging="360"/>
      </w:pPr>
      <w:rPr>
        <w:rFonts w:ascii="Arial" w:hAnsi="Arial" w:cs="Arial" w:hint="default"/>
        <w:b w:val="0"/>
      </w:rPr>
    </w:lvl>
    <w:lvl w:ilvl="2">
      <w:start w:val="1"/>
      <w:numFmt w:val="lowerRoman"/>
      <w:lvlText w:val="%3."/>
      <w:lvlJc w:val="right"/>
      <w:pPr>
        <w:ind w:left="435" w:hanging="180"/>
      </w:pPr>
      <w:rPr>
        <w:rFonts w:ascii="Arial" w:hAnsi="Arial" w:cs="Arial" w:hint="default"/>
        <w:b w:val="0"/>
        <w:i w:val="0"/>
      </w:rPr>
    </w:lvl>
    <w:lvl w:ilvl="3">
      <w:start w:val="1"/>
      <w:numFmt w:val="bullet"/>
      <w:lvlText w:val=""/>
      <w:lvlJc w:val="left"/>
      <w:pPr>
        <w:ind w:left="2880" w:hanging="360"/>
      </w:pPr>
      <w:rPr>
        <w:rFonts w:ascii="Symbol" w:hAnsi="Symbol" w:hint="default"/>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4741CD"/>
    <w:multiLevelType w:val="hybridMultilevel"/>
    <w:tmpl w:val="1048F5FE"/>
    <w:lvl w:ilvl="0" w:tplc="08090001">
      <w:start w:val="1"/>
      <w:numFmt w:val="bullet"/>
      <w:lvlText w:val=""/>
      <w:lvlJc w:val="left"/>
      <w:pPr>
        <w:ind w:left="1854" w:hanging="360"/>
      </w:pPr>
      <w:rPr>
        <w:rFonts w:ascii="Symbol" w:hAnsi="Symbol" w:hint="default"/>
      </w:rPr>
    </w:lvl>
    <w:lvl w:ilvl="1" w:tplc="08090003">
      <w:start w:val="1"/>
      <w:numFmt w:val="bullet"/>
      <w:lvlText w:val="o"/>
      <w:lvlJc w:val="left"/>
      <w:pPr>
        <w:ind w:left="2574" w:hanging="360"/>
      </w:pPr>
      <w:rPr>
        <w:rFonts w:ascii="Courier New" w:hAnsi="Courier New" w:cs="Courier New" w:hint="default"/>
      </w:rPr>
    </w:lvl>
    <w:lvl w:ilvl="2" w:tplc="08090005">
      <w:start w:val="1"/>
      <w:numFmt w:val="bullet"/>
      <w:lvlText w:val=""/>
      <w:lvlJc w:val="left"/>
      <w:pPr>
        <w:ind w:left="3294" w:hanging="360"/>
      </w:pPr>
      <w:rPr>
        <w:rFonts w:ascii="Wingdings" w:hAnsi="Wingdings" w:hint="default"/>
      </w:rPr>
    </w:lvl>
    <w:lvl w:ilvl="3" w:tplc="08090001">
      <w:start w:val="1"/>
      <w:numFmt w:val="bullet"/>
      <w:lvlText w:val=""/>
      <w:lvlJc w:val="left"/>
      <w:pPr>
        <w:ind w:left="4014" w:hanging="360"/>
      </w:pPr>
      <w:rPr>
        <w:rFonts w:ascii="Symbol" w:hAnsi="Symbol" w:hint="default"/>
      </w:rPr>
    </w:lvl>
    <w:lvl w:ilvl="4" w:tplc="08090003">
      <w:start w:val="1"/>
      <w:numFmt w:val="bullet"/>
      <w:lvlText w:val="o"/>
      <w:lvlJc w:val="left"/>
      <w:pPr>
        <w:ind w:left="4734" w:hanging="360"/>
      </w:pPr>
      <w:rPr>
        <w:rFonts w:ascii="Courier New" w:hAnsi="Courier New" w:cs="Courier New" w:hint="default"/>
      </w:rPr>
    </w:lvl>
    <w:lvl w:ilvl="5" w:tplc="08090005">
      <w:start w:val="1"/>
      <w:numFmt w:val="bullet"/>
      <w:lvlText w:val=""/>
      <w:lvlJc w:val="left"/>
      <w:pPr>
        <w:ind w:left="5454" w:hanging="360"/>
      </w:pPr>
      <w:rPr>
        <w:rFonts w:ascii="Wingdings" w:hAnsi="Wingdings" w:hint="default"/>
      </w:rPr>
    </w:lvl>
    <w:lvl w:ilvl="6" w:tplc="08090001">
      <w:start w:val="1"/>
      <w:numFmt w:val="bullet"/>
      <w:lvlText w:val=""/>
      <w:lvlJc w:val="left"/>
      <w:pPr>
        <w:ind w:left="6174" w:hanging="360"/>
      </w:pPr>
      <w:rPr>
        <w:rFonts w:ascii="Symbol" w:hAnsi="Symbol" w:hint="default"/>
      </w:rPr>
    </w:lvl>
    <w:lvl w:ilvl="7" w:tplc="08090003">
      <w:start w:val="1"/>
      <w:numFmt w:val="bullet"/>
      <w:lvlText w:val="o"/>
      <w:lvlJc w:val="left"/>
      <w:pPr>
        <w:ind w:left="6894" w:hanging="360"/>
      </w:pPr>
      <w:rPr>
        <w:rFonts w:ascii="Courier New" w:hAnsi="Courier New" w:cs="Courier New" w:hint="default"/>
      </w:rPr>
    </w:lvl>
    <w:lvl w:ilvl="8" w:tplc="08090005">
      <w:start w:val="1"/>
      <w:numFmt w:val="bullet"/>
      <w:lvlText w:val=""/>
      <w:lvlJc w:val="left"/>
      <w:pPr>
        <w:ind w:left="7614" w:hanging="360"/>
      </w:pPr>
      <w:rPr>
        <w:rFonts w:ascii="Wingdings" w:hAnsi="Wingdings" w:hint="default"/>
      </w:rPr>
    </w:lvl>
  </w:abstractNum>
  <w:abstractNum w:abstractNumId="4" w15:restartNumberingAfterBreak="0">
    <w:nsid w:val="12C53F99"/>
    <w:multiLevelType w:val="hybridMultilevel"/>
    <w:tmpl w:val="F7143B3C"/>
    <w:lvl w:ilvl="0" w:tplc="B512F5AC">
      <w:start w:val="1"/>
      <w:numFmt w:val="lowerRoman"/>
      <w:lvlText w:val="(%1)"/>
      <w:lvlJc w:val="left"/>
      <w:pPr>
        <w:ind w:left="720" w:hanging="360"/>
      </w:pPr>
      <w:rPr>
        <w:rFonts w:ascii="Arial" w:hAnsi="Arial" w:cs="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DD17F0"/>
    <w:multiLevelType w:val="hybridMultilevel"/>
    <w:tmpl w:val="00AE643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157133A0"/>
    <w:multiLevelType w:val="hybridMultilevel"/>
    <w:tmpl w:val="A142D11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15B97C12"/>
    <w:multiLevelType w:val="hybridMultilevel"/>
    <w:tmpl w:val="1F4056FE"/>
    <w:lvl w:ilvl="0" w:tplc="08090001">
      <w:start w:val="1"/>
      <w:numFmt w:val="bullet"/>
      <w:lvlText w:val=""/>
      <w:lvlJc w:val="left"/>
      <w:pPr>
        <w:ind w:left="1281" w:hanging="360"/>
      </w:pPr>
      <w:rPr>
        <w:rFonts w:ascii="Symbol" w:hAnsi="Symbol" w:hint="default"/>
      </w:rPr>
    </w:lvl>
    <w:lvl w:ilvl="1" w:tplc="08090003">
      <w:start w:val="1"/>
      <w:numFmt w:val="bullet"/>
      <w:lvlText w:val="o"/>
      <w:lvlJc w:val="left"/>
      <w:pPr>
        <w:ind w:left="2001" w:hanging="360"/>
      </w:pPr>
      <w:rPr>
        <w:rFonts w:ascii="Courier New" w:hAnsi="Courier New" w:cs="Courier New" w:hint="default"/>
      </w:rPr>
    </w:lvl>
    <w:lvl w:ilvl="2" w:tplc="08090005">
      <w:start w:val="1"/>
      <w:numFmt w:val="bullet"/>
      <w:lvlText w:val=""/>
      <w:lvlJc w:val="left"/>
      <w:pPr>
        <w:ind w:left="2721" w:hanging="360"/>
      </w:pPr>
      <w:rPr>
        <w:rFonts w:ascii="Wingdings" w:hAnsi="Wingdings" w:hint="default"/>
      </w:rPr>
    </w:lvl>
    <w:lvl w:ilvl="3" w:tplc="08090001">
      <w:start w:val="1"/>
      <w:numFmt w:val="bullet"/>
      <w:lvlText w:val=""/>
      <w:lvlJc w:val="left"/>
      <w:pPr>
        <w:ind w:left="3441" w:hanging="360"/>
      </w:pPr>
      <w:rPr>
        <w:rFonts w:ascii="Symbol" w:hAnsi="Symbol" w:hint="default"/>
      </w:rPr>
    </w:lvl>
    <w:lvl w:ilvl="4" w:tplc="08090003">
      <w:start w:val="1"/>
      <w:numFmt w:val="bullet"/>
      <w:lvlText w:val="o"/>
      <w:lvlJc w:val="left"/>
      <w:pPr>
        <w:ind w:left="4161" w:hanging="360"/>
      </w:pPr>
      <w:rPr>
        <w:rFonts w:ascii="Courier New" w:hAnsi="Courier New" w:cs="Courier New" w:hint="default"/>
      </w:rPr>
    </w:lvl>
    <w:lvl w:ilvl="5" w:tplc="08090005">
      <w:start w:val="1"/>
      <w:numFmt w:val="bullet"/>
      <w:lvlText w:val=""/>
      <w:lvlJc w:val="left"/>
      <w:pPr>
        <w:ind w:left="4881" w:hanging="360"/>
      </w:pPr>
      <w:rPr>
        <w:rFonts w:ascii="Wingdings" w:hAnsi="Wingdings" w:hint="default"/>
      </w:rPr>
    </w:lvl>
    <w:lvl w:ilvl="6" w:tplc="08090001">
      <w:start w:val="1"/>
      <w:numFmt w:val="bullet"/>
      <w:lvlText w:val=""/>
      <w:lvlJc w:val="left"/>
      <w:pPr>
        <w:ind w:left="5601" w:hanging="360"/>
      </w:pPr>
      <w:rPr>
        <w:rFonts w:ascii="Symbol" w:hAnsi="Symbol" w:hint="default"/>
      </w:rPr>
    </w:lvl>
    <w:lvl w:ilvl="7" w:tplc="08090003">
      <w:start w:val="1"/>
      <w:numFmt w:val="bullet"/>
      <w:lvlText w:val="o"/>
      <w:lvlJc w:val="left"/>
      <w:pPr>
        <w:ind w:left="6321" w:hanging="360"/>
      </w:pPr>
      <w:rPr>
        <w:rFonts w:ascii="Courier New" w:hAnsi="Courier New" w:cs="Courier New" w:hint="default"/>
      </w:rPr>
    </w:lvl>
    <w:lvl w:ilvl="8" w:tplc="08090005">
      <w:start w:val="1"/>
      <w:numFmt w:val="bullet"/>
      <w:lvlText w:val=""/>
      <w:lvlJc w:val="left"/>
      <w:pPr>
        <w:ind w:left="7041" w:hanging="360"/>
      </w:pPr>
      <w:rPr>
        <w:rFonts w:ascii="Wingdings" w:hAnsi="Wingdings" w:hint="default"/>
      </w:rPr>
    </w:lvl>
  </w:abstractNum>
  <w:abstractNum w:abstractNumId="8" w15:restartNumberingAfterBreak="0">
    <w:nsid w:val="162A6B37"/>
    <w:multiLevelType w:val="hybridMultilevel"/>
    <w:tmpl w:val="A23C7DF2"/>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9" w15:restartNumberingAfterBreak="0">
    <w:nsid w:val="16D340AA"/>
    <w:multiLevelType w:val="multilevel"/>
    <w:tmpl w:val="0130F39E"/>
    <w:lvl w:ilvl="0">
      <w:start w:val="2"/>
      <w:numFmt w:val="decimal"/>
      <w:lvlText w:val="%1"/>
      <w:lvlJc w:val="left"/>
      <w:pPr>
        <w:ind w:left="360" w:hanging="360"/>
      </w:pPr>
      <w:rPr>
        <w:rFonts w:hint="default"/>
      </w:rPr>
    </w:lvl>
    <w:lvl w:ilvl="1">
      <w:start w:val="1"/>
      <w:numFmt w:val="decimal"/>
      <w:lvlText w:val="%1.%2"/>
      <w:lvlJc w:val="left"/>
      <w:pPr>
        <w:ind w:left="2204" w:hanging="360"/>
      </w:pPr>
      <w:rPr>
        <w:rFonts w:hint="default"/>
        <w:b w:val="0"/>
        <w:bCs/>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9E92BA6"/>
    <w:multiLevelType w:val="multilevel"/>
    <w:tmpl w:val="F7FE850A"/>
    <w:lvl w:ilvl="0">
      <w:numFmt w:val="decimal"/>
      <w:lvlText w:val="1.%1"/>
      <w:lvlJc w:val="left"/>
      <w:pPr>
        <w:ind w:left="720" w:hanging="360"/>
      </w:pPr>
      <w:rPr>
        <w:rFonts w:cs="Times New Roman"/>
        <w:b w:val="0"/>
      </w:rPr>
    </w:lvl>
    <w:lvl w:ilvl="1">
      <w:start w:val="1"/>
      <w:numFmt w:val="lowerLetter"/>
      <w:lvlText w:val="%2."/>
      <w:lvlJc w:val="left"/>
      <w:pPr>
        <w:ind w:left="1440" w:hanging="360"/>
      </w:pPr>
    </w:lvl>
    <w:lvl w:ilvl="2">
      <w:start w:val="1"/>
      <w:numFmt w:val="bullet"/>
      <w:lvlText w:val=""/>
      <w:lvlJc w:val="left"/>
      <w:pPr>
        <w:ind w:left="2160" w:hanging="180"/>
      </w:pPr>
      <w:rPr>
        <w:rFonts w:ascii="Symbol" w:hAnsi="Symbol" w:hint="default"/>
        <w:color w:val="auto"/>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20258C7"/>
    <w:multiLevelType w:val="multilevel"/>
    <w:tmpl w:val="0C36BB3C"/>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6EE4474"/>
    <w:multiLevelType w:val="hybridMultilevel"/>
    <w:tmpl w:val="8D2C7C74"/>
    <w:lvl w:ilvl="0" w:tplc="4F2CCF80">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D5C57ED"/>
    <w:multiLevelType w:val="hybridMultilevel"/>
    <w:tmpl w:val="B600A6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F811B0E"/>
    <w:multiLevelType w:val="hybridMultilevel"/>
    <w:tmpl w:val="8726200E"/>
    <w:lvl w:ilvl="0" w:tplc="39D04914">
      <w:start w:val="1"/>
      <w:numFmt w:val="bullet"/>
      <w:lvlText w:val=""/>
      <w:lvlJc w:val="left"/>
      <w:pPr>
        <w:tabs>
          <w:tab w:val="num" w:pos="1287"/>
        </w:tabs>
        <w:ind w:left="1287" w:hanging="360"/>
      </w:pPr>
      <w:rPr>
        <w:rFonts w:ascii="Symbol" w:hAnsi="Symbol" w:hint="default"/>
        <w:color w:val="auto"/>
        <w:sz w:val="18"/>
      </w:rPr>
    </w:lvl>
    <w:lvl w:ilvl="1" w:tplc="08090003">
      <w:start w:val="1"/>
      <w:numFmt w:val="bullet"/>
      <w:lvlText w:val="o"/>
      <w:lvlJc w:val="left"/>
      <w:pPr>
        <w:tabs>
          <w:tab w:val="num" w:pos="2007"/>
        </w:tabs>
        <w:ind w:left="2007" w:hanging="360"/>
      </w:pPr>
      <w:rPr>
        <w:rFonts w:ascii="Courier New" w:hAnsi="Courier New" w:cs="Times New Roman" w:hint="default"/>
      </w:rPr>
    </w:lvl>
    <w:lvl w:ilvl="2" w:tplc="08090005">
      <w:start w:val="1"/>
      <w:numFmt w:val="bullet"/>
      <w:lvlText w:val=""/>
      <w:lvlJc w:val="left"/>
      <w:pPr>
        <w:tabs>
          <w:tab w:val="num" w:pos="2727"/>
        </w:tabs>
        <w:ind w:left="2727" w:hanging="360"/>
      </w:pPr>
      <w:rPr>
        <w:rFonts w:ascii="Wingdings" w:hAnsi="Wingdings" w:hint="default"/>
      </w:rPr>
    </w:lvl>
    <w:lvl w:ilvl="3" w:tplc="08090001">
      <w:start w:val="1"/>
      <w:numFmt w:val="bullet"/>
      <w:lvlText w:val=""/>
      <w:lvlJc w:val="left"/>
      <w:pPr>
        <w:tabs>
          <w:tab w:val="num" w:pos="3447"/>
        </w:tabs>
        <w:ind w:left="3447" w:hanging="360"/>
      </w:pPr>
      <w:rPr>
        <w:rFonts w:ascii="Symbol" w:hAnsi="Symbol" w:hint="default"/>
      </w:rPr>
    </w:lvl>
    <w:lvl w:ilvl="4" w:tplc="08090003">
      <w:start w:val="1"/>
      <w:numFmt w:val="bullet"/>
      <w:lvlText w:val="o"/>
      <w:lvlJc w:val="left"/>
      <w:pPr>
        <w:tabs>
          <w:tab w:val="num" w:pos="4167"/>
        </w:tabs>
        <w:ind w:left="4167" w:hanging="360"/>
      </w:pPr>
      <w:rPr>
        <w:rFonts w:ascii="Courier New" w:hAnsi="Courier New" w:cs="Times New Roman" w:hint="default"/>
      </w:rPr>
    </w:lvl>
    <w:lvl w:ilvl="5" w:tplc="08090005">
      <w:start w:val="1"/>
      <w:numFmt w:val="bullet"/>
      <w:lvlText w:val=""/>
      <w:lvlJc w:val="left"/>
      <w:pPr>
        <w:tabs>
          <w:tab w:val="num" w:pos="4887"/>
        </w:tabs>
        <w:ind w:left="4887" w:hanging="360"/>
      </w:pPr>
      <w:rPr>
        <w:rFonts w:ascii="Wingdings" w:hAnsi="Wingdings" w:hint="default"/>
      </w:rPr>
    </w:lvl>
    <w:lvl w:ilvl="6" w:tplc="08090001">
      <w:start w:val="1"/>
      <w:numFmt w:val="bullet"/>
      <w:lvlText w:val=""/>
      <w:lvlJc w:val="left"/>
      <w:pPr>
        <w:tabs>
          <w:tab w:val="num" w:pos="5607"/>
        </w:tabs>
        <w:ind w:left="5607" w:hanging="360"/>
      </w:pPr>
      <w:rPr>
        <w:rFonts w:ascii="Symbol" w:hAnsi="Symbol" w:hint="default"/>
      </w:rPr>
    </w:lvl>
    <w:lvl w:ilvl="7" w:tplc="08090003">
      <w:start w:val="1"/>
      <w:numFmt w:val="bullet"/>
      <w:lvlText w:val="o"/>
      <w:lvlJc w:val="left"/>
      <w:pPr>
        <w:tabs>
          <w:tab w:val="num" w:pos="6327"/>
        </w:tabs>
        <w:ind w:left="6327" w:hanging="360"/>
      </w:pPr>
      <w:rPr>
        <w:rFonts w:ascii="Courier New" w:hAnsi="Courier New" w:cs="Times New Roman" w:hint="default"/>
      </w:rPr>
    </w:lvl>
    <w:lvl w:ilvl="8" w:tplc="08090005">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8D16EE3"/>
    <w:multiLevelType w:val="hybridMultilevel"/>
    <w:tmpl w:val="34EEDF84"/>
    <w:lvl w:ilvl="0" w:tplc="88E66BD0">
      <w:start w:val="5"/>
      <w:numFmt w:val="lowerRoman"/>
      <w:lvlText w:val="(%1)"/>
      <w:lvlJc w:val="left"/>
      <w:pPr>
        <w:ind w:left="720" w:hanging="720"/>
      </w:pPr>
      <w:rPr>
        <w:rFonts w:hint="default"/>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D5809A3"/>
    <w:multiLevelType w:val="multilevel"/>
    <w:tmpl w:val="9FC4B870"/>
    <w:styleLink w:val="CurrentList1"/>
    <w:lvl w:ilvl="0">
      <w:start w:val="5"/>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E2425C4"/>
    <w:multiLevelType w:val="hybridMultilevel"/>
    <w:tmpl w:val="B712D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B66C40"/>
    <w:multiLevelType w:val="hybridMultilevel"/>
    <w:tmpl w:val="3B6044CE"/>
    <w:lvl w:ilvl="0" w:tplc="32B0F48A">
      <w:start w:val="1"/>
      <w:numFmt w:val="lowerLetter"/>
      <w:lvlText w:val="(%1)"/>
      <w:lvlJc w:val="left"/>
      <w:pPr>
        <w:ind w:left="11915" w:hanging="360"/>
      </w:pPr>
      <w:rPr>
        <w:rFonts w:hint="default"/>
      </w:rPr>
    </w:lvl>
    <w:lvl w:ilvl="1" w:tplc="08090019">
      <w:start w:val="1"/>
      <w:numFmt w:val="lowerLetter"/>
      <w:lvlText w:val="%2."/>
      <w:lvlJc w:val="left"/>
      <w:pPr>
        <w:ind w:left="12635" w:hanging="360"/>
      </w:pPr>
    </w:lvl>
    <w:lvl w:ilvl="2" w:tplc="0809001B" w:tentative="1">
      <w:start w:val="1"/>
      <w:numFmt w:val="lowerRoman"/>
      <w:lvlText w:val="%3."/>
      <w:lvlJc w:val="right"/>
      <w:pPr>
        <w:ind w:left="13355" w:hanging="180"/>
      </w:pPr>
    </w:lvl>
    <w:lvl w:ilvl="3" w:tplc="0809000F" w:tentative="1">
      <w:start w:val="1"/>
      <w:numFmt w:val="decimal"/>
      <w:lvlText w:val="%4."/>
      <w:lvlJc w:val="left"/>
      <w:pPr>
        <w:ind w:left="14075" w:hanging="360"/>
      </w:pPr>
    </w:lvl>
    <w:lvl w:ilvl="4" w:tplc="08090019" w:tentative="1">
      <w:start w:val="1"/>
      <w:numFmt w:val="lowerLetter"/>
      <w:lvlText w:val="%5."/>
      <w:lvlJc w:val="left"/>
      <w:pPr>
        <w:ind w:left="14795" w:hanging="360"/>
      </w:pPr>
    </w:lvl>
    <w:lvl w:ilvl="5" w:tplc="0809001B" w:tentative="1">
      <w:start w:val="1"/>
      <w:numFmt w:val="lowerRoman"/>
      <w:lvlText w:val="%6."/>
      <w:lvlJc w:val="right"/>
      <w:pPr>
        <w:ind w:left="15515" w:hanging="180"/>
      </w:pPr>
    </w:lvl>
    <w:lvl w:ilvl="6" w:tplc="0809000F" w:tentative="1">
      <w:start w:val="1"/>
      <w:numFmt w:val="decimal"/>
      <w:lvlText w:val="%7."/>
      <w:lvlJc w:val="left"/>
      <w:pPr>
        <w:ind w:left="16235" w:hanging="360"/>
      </w:pPr>
    </w:lvl>
    <w:lvl w:ilvl="7" w:tplc="08090019" w:tentative="1">
      <w:start w:val="1"/>
      <w:numFmt w:val="lowerLetter"/>
      <w:lvlText w:val="%8."/>
      <w:lvlJc w:val="left"/>
      <w:pPr>
        <w:ind w:left="16955" w:hanging="360"/>
      </w:pPr>
    </w:lvl>
    <w:lvl w:ilvl="8" w:tplc="0809001B" w:tentative="1">
      <w:start w:val="1"/>
      <w:numFmt w:val="lowerRoman"/>
      <w:lvlText w:val="%9."/>
      <w:lvlJc w:val="right"/>
      <w:pPr>
        <w:ind w:left="17675" w:hanging="180"/>
      </w:pPr>
    </w:lvl>
  </w:abstractNum>
  <w:abstractNum w:abstractNumId="19" w15:restartNumberingAfterBreak="0">
    <w:nsid w:val="45A04196"/>
    <w:multiLevelType w:val="multilevel"/>
    <w:tmpl w:val="A358FE96"/>
    <w:lvl w:ilvl="0">
      <w:start w:val="1"/>
      <w:numFmt w:val="decimal"/>
      <w:pStyle w:val="ChapterHeading"/>
      <w:lvlText w:val="%1"/>
      <w:lvlJc w:val="left"/>
      <w:pPr>
        <w:ind w:left="360" w:hanging="360"/>
      </w:pPr>
      <w:rPr>
        <w:rFonts w:cs="Times New Roman"/>
        <w:b/>
        <w:color w:val="auto"/>
      </w:rPr>
    </w:lvl>
    <w:lvl w:ilvl="1">
      <w:start w:val="1"/>
      <w:numFmt w:val="decimal"/>
      <w:pStyle w:val="Subheading"/>
      <w:isLgl/>
      <w:lvlText w:val="%1.%2"/>
      <w:lvlJc w:val="left"/>
      <w:pPr>
        <w:ind w:left="360" w:hanging="360"/>
      </w:pPr>
      <w:rPr>
        <w:rFonts w:cs="Times New Roman"/>
      </w:rPr>
    </w:lvl>
    <w:lvl w:ilvl="2">
      <w:start w:val="1"/>
      <w:numFmt w:val="decimal"/>
      <w:isLgl/>
      <w:lvlText w:val="%1.%2.%3"/>
      <w:lvlJc w:val="left"/>
      <w:pPr>
        <w:ind w:left="720" w:hanging="720"/>
      </w:pPr>
      <w:rPr>
        <w:rFonts w:cs="Times New Roman"/>
      </w:rPr>
    </w:lvl>
    <w:lvl w:ilvl="3">
      <w:start w:val="1"/>
      <w:numFmt w:val="decimal"/>
      <w:isLgl/>
      <w:lvlText w:val="%1.%2.%3.%4"/>
      <w:lvlJc w:val="left"/>
      <w:pPr>
        <w:ind w:left="720" w:hanging="720"/>
      </w:pPr>
      <w:rPr>
        <w:rFonts w:cs="Times New Roman"/>
      </w:rPr>
    </w:lvl>
    <w:lvl w:ilvl="4">
      <w:start w:val="1"/>
      <w:numFmt w:val="decimal"/>
      <w:isLgl/>
      <w:lvlText w:val="%1.%2.%3.%4.%5"/>
      <w:lvlJc w:val="left"/>
      <w:pPr>
        <w:ind w:left="1080" w:hanging="1080"/>
      </w:pPr>
      <w:rPr>
        <w:rFonts w:cs="Times New Roman"/>
      </w:rPr>
    </w:lvl>
    <w:lvl w:ilvl="5">
      <w:start w:val="1"/>
      <w:numFmt w:val="decimal"/>
      <w:isLgl/>
      <w:lvlText w:val="%1.%2.%3.%4.%5.%6"/>
      <w:lvlJc w:val="left"/>
      <w:pPr>
        <w:ind w:left="1080" w:hanging="1080"/>
      </w:pPr>
      <w:rPr>
        <w:rFonts w:cs="Times New Roman"/>
      </w:rPr>
    </w:lvl>
    <w:lvl w:ilvl="6">
      <w:start w:val="1"/>
      <w:numFmt w:val="decimal"/>
      <w:isLgl/>
      <w:lvlText w:val="%1.%2.%3.%4.%5.%6.%7"/>
      <w:lvlJc w:val="left"/>
      <w:pPr>
        <w:ind w:left="1440" w:hanging="1440"/>
      </w:pPr>
      <w:rPr>
        <w:rFonts w:cs="Times New Roman"/>
      </w:rPr>
    </w:lvl>
    <w:lvl w:ilvl="7">
      <w:start w:val="1"/>
      <w:numFmt w:val="decimal"/>
      <w:isLgl/>
      <w:lvlText w:val="%1.%2.%3.%4.%5.%6.%7.%8"/>
      <w:lvlJc w:val="left"/>
      <w:pPr>
        <w:ind w:left="1440" w:hanging="1440"/>
      </w:pPr>
      <w:rPr>
        <w:rFonts w:cs="Times New Roman"/>
      </w:rPr>
    </w:lvl>
    <w:lvl w:ilvl="8">
      <w:start w:val="1"/>
      <w:numFmt w:val="decimal"/>
      <w:isLgl/>
      <w:lvlText w:val="%1.%2.%3.%4.%5.%6.%7.%8.%9"/>
      <w:lvlJc w:val="left"/>
      <w:pPr>
        <w:ind w:left="1800" w:hanging="1800"/>
      </w:pPr>
      <w:rPr>
        <w:rFonts w:cs="Times New Roman"/>
      </w:rPr>
    </w:lvl>
  </w:abstractNum>
  <w:abstractNum w:abstractNumId="20" w15:restartNumberingAfterBreak="0">
    <w:nsid w:val="48E52E05"/>
    <w:multiLevelType w:val="multilevel"/>
    <w:tmpl w:val="55E6A93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95516F8"/>
    <w:multiLevelType w:val="multilevel"/>
    <w:tmpl w:val="B2A86C3A"/>
    <w:lvl w:ilvl="0">
      <w:numFmt w:val="decimal"/>
      <w:lvlText w:val="4.%1"/>
      <w:lvlJc w:val="left"/>
      <w:pPr>
        <w:ind w:left="786" w:hanging="360"/>
      </w:pPr>
      <w:rPr>
        <w:rFonts w:ascii="Arial" w:hAnsi="Arial" w:cs="Times New Roman" w:hint="default"/>
        <w:b w:val="0"/>
        <w:i w:val="0"/>
        <w:color w:val="auto"/>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bullet"/>
      <w:lvlText w:val=""/>
      <w:lvlJc w:val="left"/>
      <w:pPr>
        <w:ind w:left="2880" w:hanging="360"/>
      </w:pPr>
      <w:rPr>
        <w:rFonts w:ascii="Symbol" w:hAnsi="Symbol" w:hint="default"/>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9D41FE8"/>
    <w:multiLevelType w:val="hybridMultilevel"/>
    <w:tmpl w:val="6462684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4A630F96"/>
    <w:multiLevelType w:val="hybridMultilevel"/>
    <w:tmpl w:val="8B222E76"/>
    <w:lvl w:ilvl="0" w:tplc="DAC09A80">
      <w:start w:val="1"/>
      <w:numFmt w:val="lowerLetter"/>
      <w:lvlText w:val="(%1)"/>
      <w:lvlJc w:val="left"/>
      <w:pPr>
        <w:ind w:left="1129" w:hanging="4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4" w15:restartNumberingAfterBreak="0">
    <w:nsid w:val="4CB457FB"/>
    <w:multiLevelType w:val="hybridMultilevel"/>
    <w:tmpl w:val="9EB2B2FA"/>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56413718"/>
    <w:multiLevelType w:val="multilevel"/>
    <w:tmpl w:val="8506A1D0"/>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180"/>
      </w:pPr>
      <w:rPr>
        <w:rFonts w:ascii="Symbol" w:hAnsi="Symbol"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56D31E7E"/>
    <w:multiLevelType w:val="hybridMultilevel"/>
    <w:tmpl w:val="2CC6EB7A"/>
    <w:lvl w:ilvl="0" w:tplc="E77AD87A">
      <w:start w:val="1"/>
      <w:numFmt w:val="lowerLetter"/>
      <w:lvlText w:val="(%1)"/>
      <w:lvlJc w:val="left"/>
      <w:pPr>
        <w:ind w:left="1287" w:hanging="360"/>
      </w:pPr>
      <w:rPr>
        <w:rFonts w:hint="default"/>
        <w:i w:val="0"/>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57646C02"/>
    <w:multiLevelType w:val="hybridMultilevel"/>
    <w:tmpl w:val="22F448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581736CF"/>
    <w:multiLevelType w:val="hybridMultilevel"/>
    <w:tmpl w:val="B3402002"/>
    <w:lvl w:ilvl="0" w:tplc="55285C70">
      <w:numFmt w:val="decimal"/>
      <w:lvlText w:val="1.%1"/>
      <w:lvlJc w:val="left"/>
      <w:pPr>
        <w:ind w:left="1287" w:hanging="360"/>
      </w:pPr>
      <w:rPr>
        <w:rFonts w:cs="Times New Roman"/>
      </w:rPr>
    </w:lvl>
    <w:lvl w:ilvl="1" w:tplc="670C8D42">
      <w:start w:val="1"/>
      <w:numFmt w:val="lowerLetter"/>
      <w:lvlText w:val="%2)"/>
      <w:lvlJc w:val="left"/>
      <w:pPr>
        <w:ind w:left="2007" w:hanging="360"/>
      </w:pPr>
      <w:rPr>
        <w:b w:val="0"/>
        <w:bCs/>
      </w:rPr>
    </w:lvl>
    <w:lvl w:ilvl="2" w:tplc="4CDAA456">
      <w:start w:val="4"/>
      <w:numFmt w:val="bullet"/>
      <w:lvlText w:val="-"/>
      <w:lvlJc w:val="left"/>
      <w:pPr>
        <w:ind w:left="2907" w:hanging="360"/>
      </w:pPr>
      <w:rPr>
        <w:rFonts w:ascii="Arial" w:eastAsia="Times New Roman" w:hAnsi="Arial" w:cs="Arial" w:hint="default"/>
      </w:r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abstractNum w:abstractNumId="29" w15:restartNumberingAfterBreak="0">
    <w:nsid w:val="58BD06E9"/>
    <w:multiLevelType w:val="multilevel"/>
    <w:tmpl w:val="B5FC36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D1C44B8"/>
    <w:multiLevelType w:val="multilevel"/>
    <w:tmpl w:val="4AE48194"/>
    <w:lvl w:ilvl="0">
      <w:start w:val="1"/>
      <w:numFmt w:val="decimal"/>
      <w:lvlText w:val="4.%1"/>
      <w:lvlJc w:val="left"/>
      <w:pPr>
        <w:ind w:left="786" w:hanging="360"/>
      </w:pPr>
      <w:rPr>
        <w:rFonts w:ascii="Arial" w:hAnsi="Arial" w:cs="Times New Roman" w:hint="default"/>
        <w:b w:val="0"/>
        <w:i w:val="0"/>
        <w:color w:val="auto"/>
        <w:sz w:val="24"/>
      </w:rPr>
    </w:lvl>
    <w:lvl w:ilvl="1">
      <w:start w:val="3"/>
      <w:numFmt w:val="lowerLetter"/>
      <w:lvlText w:val="(%2)"/>
      <w:lvlJc w:val="left"/>
      <w:pPr>
        <w:ind w:left="1440" w:hanging="360"/>
      </w:pPr>
      <w:rPr>
        <w:rFonts w:hint="default"/>
        <w:b w:val="0"/>
        <w:bCs w:val="0"/>
        <w:i w:val="0"/>
      </w:rPr>
    </w:lvl>
    <w:lvl w:ilvl="2">
      <w:start w:val="1"/>
      <w:numFmt w:val="lowerRoman"/>
      <w:lvlText w:val="%3."/>
      <w:lvlJc w:val="right"/>
      <w:pPr>
        <w:ind w:left="2160" w:hanging="180"/>
      </w:pPr>
      <w:rPr>
        <w:rFonts w:hint="default"/>
        <w:color w:val="auto"/>
      </w:rPr>
    </w:lvl>
    <w:lvl w:ilvl="3">
      <w:start w:val="1"/>
      <w:numFmt w:val="bullet"/>
      <w:lvlText w:val=""/>
      <w:lvlJc w:val="left"/>
      <w:pPr>
        <w:ind w:left="2880" w:hanging="360"/>
      </w:pPr>
      <w:rPr>
        <w:rFonts w:ascii="Symbol" w:hAnsi="Symbol"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E2A4468"/>
    <w:multiLevelType w:val="hybridMultilevel"/>
    <w:tmpl w:val="B5E47C1A"/>
    <w:lvl w:ilvl="0" w:tplc="E2A2E6C8">
      <w:start w:val="1"/>
      <w:numFmt w:val="bullet"/>
      <w:lvlText w:val=""/>
      <w:lvlJc w:val="left"/>
      <w:pPr>
        <w:tabs>
          <w:tab w:val="num" w:pos="720"/>
        </w:tabs>
        <w:ind w:left="720" w:hanging="360"/>
      </w:pPr>
      <w:rPr>
        <w:rFonts w:ascii="Symbol" w:hAnsi="Symbol" w:hint="default"/>
        <w:sz w:val="18"/>
      </w:rPr>
    </w:lvl>
    <w:lvl w:ilvl="1" w:tplc="2BCA38CE">
      <w:start w:val="1"/>
      <w:numFmt w:val="bullet"/>
      <w:lvlText w:val="o"/>
      <w:lvlJc w:val="left"/>
      <w:pPr>
        <w:tabs>
          <w:tab w:val="num" w:pos="1440"/>
        </w:tabs>
        <w:ind w:left="1440" w:hanging="360"/>
      </w:pPr>
      <w:rPr>
        <w:rFonts w:ascii="Courier New" w:hAnsi="Courier New" w:cs="Times New Roman" w:hint="default"/>
      </w:rPr>
    </w:lvl>
    <w:lvl w:ilvl="2" w:tplc="C0368C6C">
      <w:start w:val="1"/>
      <w:numFmt w:val="bullet"/>
      <w:lvlText w:val=""/>
      <w:lvlJc w:val="left"/>
      <w:pPr>
        <w:tabs>
          <w:tab w:val="num" w:pos="2160"/>
        </w:tabs>
        <w:ind w:left="2160" w:hanging="360"/>
      </w:pPr>
      <w:rPr>
        <w:rFonts w:ascii="Wingdings" w:hAnsi="Wingdings" w:hint="default"/>
      </w:rPr>
    </w:lvl>
    <w:lvl w:ilvl="3" w:tplc="B4ACB326">
      <w:start w:val="1"/>
      <w:numFmt w:val="bullet"/>
      <w:lvlText w:val=""/>
      <w:lvlJc w:val="left"/>
      <w:pPr>
        <w:tabs>
          <w:tab w:val="num" w:pos="2880"/>
        </w:tabs>
        <w:ind w:left="2880" w:hanging="360"/>
      </w:pPr>
      <w:rPr>
        <w:rFonts w:ascii="Symbol" w:hAnsi="Symbol" w:hint="default"/>
      </w:rPr>
    </w:lvl>
    <w:lvl w:ilvl="4" w:tplc="29564984">
      <w:start w:val="1"/>
      <w:numFmt w:val="bullet"/>
      <w:lvlText w:val="o"/>
      <w:lvlJc w:val="left"/>
      <w:pPr>
        <w:tabs>
          <w:tab w:val="num" w:pos="3600"/>
        </w:tabs>
        <w:ind w:left="3600" w:hanging="360"/>
      </w:pPr>
      <w:rPr>
        <w:rFonts w:ascii="Courier New" w:hAnsi="Courier New" w:cs="Times New Roman" w:hint="default"/>
      </w:rPr>
    </w:lvl>
    <w:lvl w:ilvl="5" w:tplc="C28E63A8">
      <w:start w:val="1"/>
      <w:numFmt w:val="bullet"/>
      <w:lvlText w:val=""/>
      <w:lvlJc w:val="left"/>
      <w:pPr>
        <w:tabs>
          <w:tab w:val="num" w:pos="4320"/>
        </w:tabs>
        <w:ind w:left="4320" w:hanging="360"/>
      </w:pPr>
      <w:rPr>
        <w:rFonts w:ascii="Wingdings" w:hAnsi="Wingdings" w:hint="default"/>
      </w:rPr>
    </w:lvl>
    <w:lvl w:ilvl="6" w:tplc="8D7653E4">
      <w:start w:val="1"/>
      <w:numFmt w:val="bullet"/>
      <w:lvlText w:val=""/>
      <w:lvlJc w:val="left"/>
      <w:pPr>
        <w:tabs>
          <w:tab w:val="num" w:pos="5040"/>
        </w:tabs>
        <w:ind w:left="5040" w:hanging="360"/>
      </w:pPr>
      <w:rPr>
        <w:rFonts w:ascii="Symbol" w:hAnsi="Symbol" w:hint="default"/>
      </w:rPr>
    </w:lvl>
    <w:lvl w:ilvl="7" w:tplc="C05CFAE0">
      <w:start w:val="1"/>
      <w:numFmt w:val="bullet"/>
      <w:lvlText w:val="o"/>
      <w:lvlJc w:val="left"/>
      <w:pPr>
        <w:tabs>
          <w:tab w:val="num" w:pos="5760"/>
        </w:tabs>
        <w:ind w:left="5760" w:hanging="360"/>
      </w:pPr>
      <w:rPr>
        <w:rFonts w:ascii="Courier New" w:hAnsi="Courier New" w:cs="Times New Roman" w:hint="default"/>
      </w:rPr>
    </w:lvl>
    <w:lvl w:ilvl="8" w:tplc="FC5258D2">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0835B47"/>
    <w:multiLevelType w:val="multilevel"/>
    <w:tmpl w:val="3522DC7C"/>
    <w:lvl w:ilvl="0">
      <w:numFmt w:val="decimal"/>
      <w:lvlText w:val="1.%1"/>
      <w:lvlJc w:val="left"/>
      <w:pPr>
        <w:ind w:left="720" w:hanging="360"/>
      </w:pPr>
      <w:rPr>
        <w:rFonts w:cs="Times New Roman"/>
      </w:rPr>
    </w:lvl>
    <w:lvl w:ilvl="1">
      <w:start w:val="1"/>
      <w:numFmt w:val="lowerLetter"/>
      <w:lvlText w:val="%2."/>
      <w:lvlJc w:val="left"/>
      <w:pPr>
        <w:ind w:left="1440" w:hanging="360"/>
      </w:pPr>
    </w:lvl>
    <w:lvl w:ilvl="2">
      <w:start w:val="1"/>
      <w:numFmt w:val="bullet"/>
      <w:lvlText w:val=""/>
      <w:lvlJc w:val="left"/>
      <w:pPr>
        <w:ind w:left="2160" w:hanging="180"/>
      </w:pPr>
      <w:rPr>
        <w:rFonts w:ascii="Symbol" w:hAnsi="Symbol" w:hint="default"/>
        <w:color w:val="auto"/>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5094E23"/>
    <w:multiLevelType w:val="hybridMultilevel"/>
    <w:tmpl w:val="6F0E0544"/>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34" w15:restartNumberingAfterBreak="0">
    <w:nsid w:val="681D7091"/>
    <w:multiLevelType w:val="multilevel"/>
    <w:tmpl w:val="1DACAEF6"/>
    <w:lvl w:ilvl="0">
      <w:start w:val="4"/>
      <w:numFmt w:val="decimal"/>
      <w:lvlText w:val="%1.0"/>
      <w:lvlJc w:val="left"/>
      <w:pPr>
        <w:ind w:left="567" w:hanging="360"/>
      </w:pPr>
      <w:rPr>
        <w:rFonts w:hint="default"/>
      </w:rPr>
    </w:lvl>
    <w:lvl w:ilvl="1">
      <w:start w:val="1"/>
      <w:numFmt w:val="lowerLetter"/>
      <w:lvlText w:val="%2)"/>
      <w:lvlJc w:val="left"/>
      <w:pPr>
        <w:ind w:left="1134" w:hanging="360"/>
      </w:pPr>
      <w:rPr>
        <w:rFonts w:hint="default"/>
      </w:rPr>
    </w:lvl>
    <w:lvl w:ilvl="2">
      <w:start w:val="1"/>
      <w:numFmt w:val="decimal"/>
      <w:lvlText w:val="%1.%2.%3"/>
      <w:lvlJc w:val="left"/>
      <w:pPr>
        <w:ind w:left="2061" w:hanging="720"/>
      </w:pPr>
      <w:rPr>
        <w:rFonts w:hint="default"/>
      </w:rPr>
    </w:lvl>
    <w:lvl w:ilvl="3">
      <w:start w:val="1"/>
      <w:numFmt w:val="decimal"/>
      <w:lvlText w:val="%1.%2.%3.%4"/>
      <w:lvlJc w:val="left"/>
      <w:pPr>
        <w:ind w:left="2628" w:hanging="720"/>
      </w:pPr>
      <w:rPr>
        <w:rFonts w:hint="default"/>
      </w:rPr>
    </w:lvl>
    <w:lvl w:ilvl="4">
      <w:start w:val="1"/>
      <w:numFmt w:val="decimal"/>
      <w:lvlText w:val="%1.%2.%3.%4.%5"/>
      <w:lvlJc w:val="left"/>
      <w:pPr>
        <w:ind w:left="3555" w:hanging="1080"/>
      </w:pPr>
      <w:rPr>
        <w:rFonts w:hint="default"/>
      </w:rPr>
    </w:lvl>
    <w:lvl w:ilvl="5">
      <w:start w:val="1"/>
      <w:numFmt w:val="decimal"/>
      <w:lvlText w:val="%1.%2.%3.%4.%5.%6"/>
      <w:lvlJc w:val="left"/>
      <w:pPr>
        <w:ind w:left="4122" w:hanging="1080"/>
      </w:pPr>
      <w:rPr>
        <w:rFonts w:hint="default"/>
      </w:rPr>
    </w:lvl>
    <w:lvl w:ilvl="6">
      <w:start w:val="1"/>
      <w:numFmt w:val="decimal"/>
      <w:lvlText w:val="%1.%2.%3.%4.%5.%6.%7"/>
      <w:lvlJc w:val="left"/>
      <w:pPr>
        <w:ind w:left="5049" w:hanging="1440"/>
      </w:pPr>
      <w:rPr>
        <w:rFonts w:hint="default"/>
      </w:rPr>
    </w:lvl>
    <w:lvl w:ilvl="7">
      <w:start w:val="1"/>
      <w:numFmt w:val="decimal"/>
      <w:lvlText w:val="%1.%2.%3.%4.%5.%6.%7.%8"/>
      <w:lvlJc w:val="left"/>
      <w:pPr>
        <w:ind w:left="5616" w:hanging="1440"/>
      </w:pPr>
      <w:rPr>
        <w:rFonts w:hint="default"/>
      </w:rPr>
    </w:lvl>
    <w:lvl w:ilvl="8">
      <w:start w:val="1"/>
      <w:numFmt w:val="decimal"/>
      <w:lvlText w:val="%1.%2.%3.%4.%5.%6.%7.%8.%9"/>
      <w:lvlJc w:val="left"/>
      <w:pPr>
        <w:ind w:left="6543" w:hanging="1800"/>
      </w:pPr>
      <w:rPr>
        <w:rFonts w:hint="default"/>
      </w:rPr>
    </w:lvl>
  </w:abstractNum>
  <w:abstractNum w:abstractNumId="35" w15:restartNumberingAfterBreak="0">
    <w:nsid w:val="6C082B2B"/>
    <w:multiLevelType w:val="hybridMultilevel"/>
    <w:tmpl w:val="A072B2F2"/>
    <w:lvl w:ilvl="0" w:tplc="08090001">
      <w:start w:val="1"/>
      <w:numFmt w:val="bullet"/>
      <w:lvlText w:val=""/>
      <w:lvlJc w:val="left"/>
      <w:pPr>
        <w:ind w:left="1571" w:hanging="360"/>
      </w:pPr>
      <w:rPr>
        <w:rFonts w:ascii="Symbol" w:hAnsi="Symbol" w:hint="default"/>
      </w:rPr>
    </w:lvl>
    <w:lvl w:ilvl="1" w:tplc="08090003">
      <w:start w:val="1"/>
      <w:numFmt w:val="bullet"/>
      <w:lvlText w:val="o"/>
      <w:lvlJc w:val="left"/>
      <w:pPr>
        <w:ind w:left="2291" w:hanging="360"/>
      </w:pPr>
      <w:rPr>
        <w:rFonts w:ascii="Courier New" w:hAnsi="Courier New" w:cs="Courier New" w:hint="default"/>
      </w:rPr>
    </w:lvl>
    <w:lvl w:ilvl="2" w:tplc="08090005">
      <w:start w:val="1"/>
      <w:numFmt w:val="bullet"/>
      <w:lvlText w:val=""/>
      <w:lvlJc w:val="left"/>
      <w:pPr>
        <w:ind w:left="3011" w:hanging="360"/>
      </w:pPr>
      <w:rPr>
        <w:rFonts w:ascii="Wingdings" w:hAnsi="Wingdings" w:hint="default"/>
      </w:rPr>
    </w:lvl>
    <w:lvl w:ilvl="3" w:tplc="08090001">
      <w:start w:val="1"/>
      <w:numFmt w:val="bullet"/>
      <w:lvlText w:val=""/>
      <w:lvlJc w:val="left"/>
      <w:pPr>
        <w:ind w:left="3731" w:hanging="360"/>
      </w:pPr>
      <w:rPr>
        <w:rFonts w:ascii="Symbol" w:hAnsi="Symbol" w:hint="default"/>
      </w:rPr>
    </w:lvl>
    <w:lvl w:ilvl="4" w:tplc="08090003">
      <w:start w:val="1"/>
      <w:numFmt w:val="bullet"/>
      <w:lvlText w:val="o"/>
      <w:lvlJc w:val="left"/>
      <w:pPr>
        <w:ind w:left="4451" w:hanging="360"/>
      </w:pPr>
      <w:rPr>
        <w:rFonts w:ascii="Courier New" w:hAnsi="Courier New" w:cs="Courier New" w:hint="default"/>
      </w:rPr>
    </w:lvl>
    <w:lvl w:ilvl="5" w:tplc="08090005">
      <w:start w:val="1"/>
      <w:numFmt w:val="bullet"/>
      <w:lvlText w:val=""/>
      <w:lvlJc w:val="left"/>
      <w:pPr>
        <w:ind w:left="5171" w:hanging="360"/>
      </w:pPr>
      <w:rPr>
        <w:rFonts w:ascii="Wingdings" w:hAnsi="Wingdings" w:hint="default"/>
      </w:rPr>
    </w:lvl>
    <w:lvl w:ilvl="6" w:tplc="08090001">
      <w:start w:val="1"/>
      <w:numFmt w:val="bullet"/>
      <w:lvlText w:val=""/>
      <w:lvlJc w:val="left"/>
      <w:pPr>
        <w:ind w:left="5891" w:hanging="360"/>
      </w:pPr>
      <w:rPr>
        <w:rFonts w:ascii="Symbol" w:hAnsi="Symbol" w:hint="default"/>
      </w:rPr>
    </w:lvl>
    <w:lvl w:ilvl="7" w:tplc="08090003">
      <w:start w:val="1"/>
      <w:numFmt w:val="bullet"/>
      <w:lvlText w:val="o"/>
      <w:lvlJc w:val="left"/>
      <w:pPr>
        <w:ind w:left="6611" w:hanging="360"/>
      </w:pPr>
      <w:rPr>
        <w:rFonts w:ascii="Courier New" w:hAnsi="Courier New" w:cs="Courier New" w:hint="default"/>
      </w:rPr>
    </w:lvl>
    <w:lvl w:ilvl="8" w:tplc="08090005">
      <w:start w:val="1"/>
      <w:numFmt w:val="bullet"/>
      <w:lvlText w:val=""/>
      <w:lvlJc w:val="left"/>
      <w:pPr>
        <w:ind w:left="7331" w:hanging="360"/>
      </w:pPr>
      <w:rPr>
        <w:rFonts w:ascii="Wingdings" w:hAnsi="Wingdings" w:hint="default"/>
      </w:rPr>
    </w:lvl>
  </w:abstractNum>
  <w:abstractNum w:abstractNumId="36" w15:restartNumberingAfterBreak="0">
    <w:nsid w:val="6F0B458B"/>
    <w:multiLevelType w:val="hybridMultilevel"/>
    <w:tmpl w:val="3E18A3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707F0ECE"/>
    <w:multiLevelType w:val="multilevel"/>
    <w:tmpl w:val="93B87924"/>
    <w:lvl w:ilvl="0">
      <w:numFmt w:val="decimal"/>
      <w:lvlText w:val="5.%1"/>
      <w:lvlJc w:val="left"/>
      <w:pPr>
        <w:ind w:left="720" w:hanging="360"/>
      </w:pPr>
      <w:rPr>
        <w:rFonts w:ascii="Arial" w:hAnsi="Arial" w:cs="Arial" w:hint="default"/>
      </w:rPr>
    </w:lvl>
    <w:lvl w:ilvl="1">
      <w:start w:val="1"/>
      <w:numFmt w:val="lowerLetter"/>
      <w:lvlText w:val="%2."/>
      <w:lvlJc w:val="left"/>
      <w:pPr>
        <w:ind w:left="1440" w:hanging="360"/>
      </w:pPr>
      <w:rPr>
        <w:rFonts w:hint="default"/>
      </w:rPr>
    </w:lvl>
    <w:lvl w:ilvl="2">
      <w:start w:val="1"/>
      <w:numFmt w:val="bullet"/>
      <w:lvlText w:val=""/>
      <w:lvlJc w:val="left"/>
      <w:pPr>
        <w:ind w:left="2160" w:hanging="180"/>
      </w:pPr>
      <w:rPr>
        <w:rFonts w:ascii="Symbol" w:hAnsi="Symbol"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70DC7A66"/>
    <w:multiLevelType w:val="hybridMultilevel"/>
    <w:tmpl w:val="C5F27A04"/>
    <w:lvl w:ilvl="0" w:tplc="08090001">
      <w:start w:val="1"/>
      <w:numFmt w:val="bullet"/>
      <w:lvlText w:val=""/>
      <w:lvlJc w:val="left"/>
      <w:pPr>
        <w:ind w:left="1709" w:hanging="360"/>
      </w:pPr>
      <w:rPr>
        <w:rFonts w:ascii="Symbol" w:hAnsi="Symbol" w:hint="default"/>
      </w:rPr>
    </w:lvl>
    <w:lvl w:ilvl="1" w:tplc="08090003">
      <w:start w:val="1"/>
      <w:numFmt w:val="bullet"/>
      <w:lvlText w:val="o"/>
      <w:lvlJc w:val="left"/>
      <w:pPr>
        <w:ind w:left="2429" w:hanging="360"/>
      </w:pPr>
      <w:rPr>
        <w:rFonts w:ascii="Courier New" w:hAnsi="Courier New" w:cs="Courier New" w:hint="default"/>
      </w:rPr>
    </w:lvl>
    <w:lvl w:ilvl="2" w:tplc="08090005">
      <w:start w:val="1"/>
      <w:numFmt w:val="bullet"/>
      <w:lvlText w:val=""/>
      <w:lvlJc w:val="left"/>
      <w:pPr>
        <w:ind w:left="3149" w:hanging="360"/>
      </w:pPr>
      <w:rPr>
        <w:rFonts w:ascii="Wingdings" w:hAnsi="Wingdings" w:hint="default"/>
      </w:rPr>
    </w:lvl>
    <w:lvl w:ilvl="3" w:tplc="08090001">
      <w:start w:val="1"/>
      <w:numFmt w:val="bullet"/>
      <w:lvlText w:val=""/>
      <w:lvlJc w:val="left"/>
      <w:pPr>
        <w:ind w:left="3869" w:hanging="360"/>
      </w:pPr>
      <w:rPr>
        <w:rFonts w:ascii="Symbol" w:hAnsi="Symbol" w:hint="default"/>
      </w:rPr>
    </w:lvl>
    <w:lvl w:ilvl="4" w:tplc="08090003">
      <w:start w:val="1"/>
      <w:numFmt w:val="bullet"/>
      <w:lvlText w:val="o"/>
      <w:lvlJc w:val="left"/>
      <w:pPr>
        <w:ind w:left="4589" w:hanging="360"/>
      </w:pPr>
      <w:rPr>
        <w:rFonts w:ascii="Courier New" w:hAnsi="Courier New" w:cs="Courier New" w:hint="default"/>
      </w:rPr>
    </w:lvl>
    <w:lvl w:ilvl="5" w:tplc="08090005">
      <w:start w:val="1"/>
      <w:numFmt w:val="bullet"/>
      <w:lvlText w:val=""/>
      <w:lvlJc w:val="left"/>
      <w:pPr>
        <w:ind w:left="5309" w:hanging="360"/>
      </w:pPr>
      <w:rPr>
        <w:rFonts w:ascii="Wingdings" w:hAnsi="Wingdings" w:hint="default"/>
      </w:rPr>
    </w:lvl>
    <w:lvl w:ilvl="6" w:tplc="08090001">
      <w:start w:val="1"/>
      <w:numFmt w:val="bullet"/>
      <w:lvlText w:val=""/>
      <w:lvlJc w:val="left"/>
      <w:pPr>
        <w:ind w:left="6029" w:hanging="360"/>
      </w:pPr>
      <w:rPr>
        <w:rFonts w:ascii="Symbol" w:hAnsi="Symbol" w:hint="default"/>
      </w:rPr>
    </w:lvl>
    <w:lvl w:ilvl="7" w:tplc="08090003">
      <w:start w:val="1"/>
      <w:numFmt w:val="bullet"/>
      <w:lvlText w:val="o"/>
      <w:lvlJc w:val="left"/>
      <w:pPr>
        <w:ind w:left="6749" w:hanging="360"/>
      </w:pPr>
      <w:rPr>
        <w:rFonts w:ascii="Courier New" w:hAnsi="Courier New" w:cs="Courier New" w:hint="default"/>
      </w:rPr>
    </w:lvl>
    <w:lvl w:ilvl="8" w:tplc="08090005">
      <w:start w:val="1"/>
      <w:numFmt w:val="bullet"/>
      <w:lvlText w:val=""/>
      <w:lvlJc w:val="left"/>
      <w:pPr>
        <w:ind w:left="7469" w:hanging="360"/>
      </w:pPr>
      <w:rPr>
        <w:rFonts w:ascii="Wingdings" w:hAnsi="Wingdings" w:hint="default"/>
      </w:rPr>
    </w:lvl>
  </w:abstractNum>
  <w:abstractNum w:abstractNumId="39" w15:restartNumberingAfterBreak="0">
    <w:nsid w:val="78F47C0B"/>
    <w:multiLevelType w:val="hybridMultilevel"/>
    <w:tmpl w:val="02A012C2"/>
    <w:lvl w:ilvl="0" w:tplc="08090001">
      <w:start w:val="1"/>
      <w:numFmt w:val="bullet"/>
      <w:lvlText w:val=""/>
      <w:lvlJc w:val="left"/>
      <w:pPr>
        <w:ind w:left="1290" w:hanging="360"/>
      </w:pPr>
      <w:rPr>
        <w:rFonts w:ascii="Symbol" w:hAnsi="Symbol" w:hint="default"/>
      </w:rPr>
    </w:lvl>
    <w:lvl w:ilvl="1" w:tplc="08090003">
      <w:start w:val="1"/>
      <w:numFmt w:val="bullet"/>
      <w:lvlText w:val="o"/>
      <w:lvlJc w:val="left"/>
      <w:pPr>
        <w:ind w:left="2010" w:hanging="360"/>
      </w:pPr>
      <w:rPr>
        <w:rFonts w:ascii="Courier New" w:hAnsi="Courier New" w:cs="Courier New" w:hint="default"/>
      </w:rPr>
    </w:lvl>
    <w:lvl w:ilvl="2" w:tplc="08090005">
      <w:start w:val="1"/>
      <w:numFmt w:val="bullet"/>
      <w:lvlText w:val=""/>
      <w:lvlJc w:val="left"/>
      <w:pPr>
        <w:ind w:left="2730" w:hanging="360"/>
      </w:pPr>
      <w:rPr>
        <w:rFonts w:ascii="Wingdings" w:hAnsi="Wingdings" w:hint="default"/>
      </w:rPr>
    </w:lvl>
    <w:lvl w:ilvl="3" w:tplc="08090001">
      <w:start w:val="1"/>
      <w:numFmt w:val="bullet"/>
      <w:lvlText w:val=""/>
      <w:lvlJc w:val="left"/>
      <w:pPr>
        <w:ind w:left="3450" w:hanging="360"/>
      </w:pPr>
      <w:rPr>
        <w:rFonts w:ascii="Symbol" w:hAnsi="Symbol" w:hint="default"/>
      </w:rPr>
    </w:lvl>
    <w:lvl w:ilvl="4" w:tplc="08090003">
      <w:start w:val="1"/>
      <w:numFmt w:val="bullet"/>
      <w:lvlText w:val="o"/>
      <w:lvlJc w:val="left"/>
      <w:pPr>
        <w:ind w:left="4170" w:hanging="360"/>
      </w:pPr>
      <w:rPr>
        <w:rFonts w:ascii="Courier New" w:hAnsi="Courier New" w:cs="Courier New" w:hint="default"/>
      </w:rPr>
    </w:lvl>
    <w:lvl w:ilvl="5" w:tplc="08090005">
      <w:start w:val="1"/>
      <w:numFmt w:val="bullet"/>
      <w:lvlText w:val=""/>
      <w:lvlJc w:val="left"/>
      <w:pPr>
        <w:ind w:left="4890" w:hanging="360"/>
      </w:pPr>
      <w:rPr>
        <w:rFonts w:ascii="Wingdings" w:hAnsi="Wingdings" w:hint="default"/>
      </w:rPr>
    </w:lvl>
    <w:lvl w:ilvl="6" w:tplc="08090001">
      <w:start w:val="1"/>
      <w:numFmt w:val="bullet"/>
      <w:lvlText w:val=""/>
      <w:lvlJc w:val="left"/>
      <w:pPr>
        <w:ind w:left="5610" w:hanging="360"/>
      </w:pPr>
      <w:rPr>
        <w:rFonts w:ascii="Symbol" w:hAnsi="Symbol" w:hint="default"/>
      </w:rPr>
    </w:lvl>
    <w:lvl w:ilvl="7" w:tplc="08090003">
      <w:start w:val="1"/>
      <w:numFmt w:val="bullet"/>
      <w:lvlText w:val="o"/>
      <w:lvlJc w:val="left"/>
      <w:pPr>
        <w:ind w:left="6330" w:hanging="360"/>
      </w:pPr>
      <w:rPr>
        <w:rFonts w:ascii="Courier New" w:hAnsi="Courier New" w:cs="Courier New" w:hint="default"/>
      </w:rPr>
    </w:lvl>
    <w:lvl w:ilvl="8" w:tplc="08090005">
      <w:start w:val="1"/>
      <w:numFmt w:val="bullet"/>
      <w:lvlText w:val=""/>
      <w:lvlJc w:val="left"/>
      <w:pPr>
        <w:ind w:left="7050" w:hanging="360"/>
      </w:pPr>
      <w:rPr>
        <w:rFonts w:ascii="Wingdings" w:hAnsi="Wingdings" w:hint="default"/>
      </w:rPr>
    </w:lvl>
  </w:abstractNum>
  <w:abstractNum w:abstractNumId="40" w15:restartNumberingAfterBreak="0">
    <w:nsid w:val="7A1142F1"/>
    <w:multiLevelType w:val="multilevel"/>
    <w:tmpl w:val="24AC41D8"/>
    <w:lvl w:ilvl="0">
      <w:start w:val="1"/>
      <w:numFmt w:val="lowerRoman"/>
      <w:lvlText w:val="(%1)"/>
      <w:lvlJc w:val="righ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7B356966"/>
    <w:multiLevelType w:val="multilevel"/>
    <w:tmpl w:val="0346F45A"/>
    <w:lvl w:ilvl="0">
      <w:start w:val="2"/>
      <w:numFmt w:val="decimal"/>
      <w:lvlText w:val="%1.0"/>
      <w:lvlJc w:val="left"/>
      <w:pPr>
        <w:ind w:left="567" w:hanging="360"/>
      </w:pPr>
      <w:rPr>
        <w:rFonts w:hint="default"/>
      </w:rPr>
    </w:lvl>
    <w:lvl w:ilvl="1">
      <w:start w:val="1"/>
      <w:numFmt w:val="lowerLetter"/>
      <w:lvlText w:val="%2)"/>
      <w:lvlJc w:val="left"/>
      <w:pPr>
        <w:ind w:left="1134" w:hanging="360"/>
      </w:pPr>
      <w:rPr>
        <w:rFonts w:hint="default"/>
      </w:rPr>
    </w:lvl>
    <w:lvl w:ilvl="2">
      <w:start w:val="1"/>
      <w:numFmt w:val="decimal"/>
      <w:lvlText w:val="%1.%2.%3"/>
      <w:lvlJc w:val="left"/>
      <w:pPr>
        <w:ind w:left="2061" w:hanging="720"/>
      </w:pPr>
      <w:rPr>
        <w:rFonts w:hint="default"/>
      </w:rPr>
    </w:lvl>
    <w:lvl w:ilvl="3">
      <w:start w:val="1"/>
      <w:numFmt w:val="decimal"/>
      <w:lvlText w:val="%1.%2.%3.%4"/>
      <w:lvlJc w:val="left"/>
      <w:pPr>
        <w:ind w:left="2628" w:hanging="720"/>
      </w:pPr>
      <w:rPr>
        <w:rFonts w:hint="default"/>
      </w:rPr>
    </w:lvl>
    <w:lvl w:ilvl="4">
      <w:start w:val="1"/>
      <w:numFmt w:val="decimal"/>
      <w:lvlText w:val="%1.%2.%3.%4.%5"/>
      <w:lvlJc w:val="left"/>
      <w:pPr>
        <w:ind w:left="3555" w:hanging="1080"/>
      </w:pPr>
      <w:rPr>
        <w:rFonts w:hint="default"/>
      </w:rPr>
    </w:lvl>
    <w:lvl w:ilvl="5">
      <w:start w:val="1"/>
      <w:numFmt w:val="decimal"/>
      <w:lvlText w:val="%1.%2.%3.%4.%5.%6"/>
      <w:lvlJc w:val="left"/>
      <w:pPr>
        <w:ind w:left="4122" w:hanging="1080"/>
      </w:pPr>
      <w:rPr>
        <w:rFonts w:hint="default"/>
      </w:rPr>
    </w:lvl>
    <w:lvl w:ilvl="6">
      <w:start w:val="1"/>
      <w:numFmt w:val="decimal"/>
      <w:lvlText w:val="%1.%2.%3.%4.%5.%6.%7"/>
      <w:lvlJc w:val="left"/>
      <w:pPr>
        <w:ind w:left="5049" w:hanging="1440"/>
      </w:pPr>
      <w:rPr>
        <w:rFonts w:hint="default"/>
      </w:rPr>
    </w:lvl>
    <w:lvl w:ilvl="7">
      <w:start w:val="1"/>
      <w:numFmt w:val="decimal"/>
      <w:lvlText w:val="%1.%2.%3.%4.%5.%6.%7.%8"/>
      <w:lvlJc w:val="left"/>
      <w:pPr>
        <w:ind w:left="5616" w:hanging="1440"/>
      </w:pPr>
      <w:rPr>
        <w:rFonts w:hint="default"/>
      </w:rPr>
    </w:lvl>
    <w:lvl w:ilvl="8">
      <w:start w:val="1"/>
      <w:numFmt w:val="decimal"/>
      <w:lvlText w:val="%1.%2.%3.%4.%5.%6.%7.%8.%9"/>
      <w:lvlJc w:val="left"/>
      <w:pPr>
        <w:ind w:left="6543" w:hanging="1800"/>
      </w:pPr>
      <w:rPr>
        <w:rFonts w:hint="default"/>
      </w:rPr>
    </w:lvl>
  </w:abstractNum>
  <w:abstractNum w:abstractNumId="42" w15:restartNumberingAfterBreak="0">
    <w:nsid w:val="7E1C3E3A"/>
    <w:multiLevelType w:val="multilevel"/>
    <w:tmpl w:val="C1880CFC"/>
    <w:lvl w:ilvl="0">
      <w:numFmt w:val="decimal"/>
      <w:lvlText w:val="5.%1"/>
      <w:lvlJc w:val="left"/>
      <w:pPr>
        <w:ind w:left="720" w:hanging="360"/>
      </w:pPr>
      <w:rPr>
        <w:rFonts w:ascii="Arial" w:hAnsi="Arial" w:cs="Arial" w:hint="default"/>
      </w:rPr>
    </w:lvl>
    <w:lvl w:ilvl="1">
      <w:start w:val="1"/>
      <w:numFmt w:val="lowerLetter"/>
      <w:lvlText w:val="%2)"/>
      <w:lvlJc w:val="left"/>
      <w:pPr>
        <w:ind w:left="1440" w:hanging="360"/>
      </w:pPr>
      <w:rPr>
        <w:rFonts w:hint="default"/>
        <w:i w:val="0"/>
        <w:color w:val="auto"/>
      </w:rPr>
    </w:lvl>
    <w:lvl w:ilvl="2">
      <w:start w:val="1"/>
      <w:numFmt w:val="bullet"/>
      <w:lvlText w:val=""/>
      <w:lvlJc w:val="left"/>
      <w:pPr>
        <w:ind w:left="2160" w:hanging="180"/>
      </w:pPr>
      <w:rPr>
        <w:rFonts w:ascii="Symbol" w:hAnsi="Symbol"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2113628419">
    <w:abstractNumId w:val="0"/>
  </w:num>
  <w:num w:numId="2" w16cid:durableId="398556243">
    <w:abstractNumId w:val="29"/>
  </w:num>
  <w:num w:numId="3" w16cid:durableId="991063762">
    <w:abstractNumId w:val="17"/>
  </w:num>
  <w:num w:numId="4" w16cid:durableId="1132862841">
    <w:abstractNumId w:val="24"/>
  </w:num>
  <w:num w:numId="5" w16cid:durableId="1439523484">
    <w:abstractNumId w:val="26"/>
  </w:num>
  <w:num w:numId="6" w16cid:durableId="1871528681">
    <w:abstractNumId w:val="18"/>
  </w:num>
  <w:num w:numId="7" w16cid:durableId="464547576">
    <w:abstractNumId w:val="4"/>
  </w:num>
  <w:num w:numId="8" w16cid:durableId="5930511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56160703">
    <w:abstractNumId w:val="3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6126229">
    <w:abstractNumId w:val="34"/>
  </w:num>
  <w:num w:numId="11" w16cid:durableId="1970163280">
    <w:abstractNumId w:val="27"/>
  </w:num>
  <w:num w:numId="12" w16cid:durableId="154424306">
    <w:abstractNumId w:val="25"/>
  </w:num>
  <w:num w:numId="13" w16cid:durableId="1795172507">
    <w:abstractNumId w:val="1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99543523">
    <w:abstractNumId w:val="1"/>
  </w:num>
  <w:num w:numId="15" w16cid:durableId="483738781">
    <w:abstractNumId w:val="21"/>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20613789">
    <w:abstractNumId w:val="12"/>
  </w:num>
  <w:num w:numId="17" w16cid:durableId="1941330618">
    <w:abstractNumId w:val="28"/>
    <w:lvlOverride w:ilvl="0"/>
    <w:lvlOverride w:ilvl="1">
      <w:startOverride w:val="1"/>
    </w:lvlOverride>
    <w:lvlOverride w:ilvl="2"/>
    <w:lvlOverride w:ilvl="3">
      <w:startOverride w:val="5"/>
    </w:lvlOverride>
    <w:lvlOverride w:ilvl="4">
      <w:startOverride w:val="7"/>
    </w:lvlOverride>
    <w:lvlOverride w:ilvl="5">
      <w:startOverride w:val="7"/>
    </w:lvlOverride>
    <w:lvlOverride w:ilvl="6">
      <w:startOverride w:val="1"/>
    </w:lvlOverride>
    <w:lvlOverride w:ilvl="7">
      <w:startOverride w:val="1"/>
    </w:lvlOverride>
    <w:lvlOverride w:ilvl="8">
      <w:startOverride w:val="1"/>
    </w:lvlOverride>
  </w:num>
  <w:num w:numId="18" w16cid:durableId="1111896835">
    <w:abstractNumId w:val="38"/>
  </w:num>
  <w:num w:numId="19" w16cid:durableId="1343316275">
    <w:abstractNumId w:val="33"/>
  </w:num>
  <w:num w:numId="20" w16cid:durableId="2100563706">
    <w:abstractNumId w:val="11"/>
  </w:num>
  <w:num w:numId="21" w16cid:durableId="1013461039">
    <w:abstractNumId w:val="30"/>
  </w:num>
  <w:num w:numId="22" w16cid:durableId="298654412">
    <w:abstractNumId w:val="39"/>
  </w:num>
  <w:num w:numId="23" w16cid:durableId="277371111">
    <w:abstractNumId w:val="31"/>
  </w:num>
  <w:num w:numId="24" w16cid:durableId="947539410">
    <w:abstractNumId w:val="14"/>
  </w:num>
  <w:num w:numId="25" w16cid:durableId="278609604">
    <w:abstractNumId w:val="22"/>
  </w:num>
  <w:num w:numId="26" w16cid:durableId="762646668">
    <w:abstractNumId w:val="35"/>
  </w:num>
  <w:num w:numId="27" w16cid:durableId="1356955017">
    <w:abstractNumId w:val="20"/>
  </w:num>
  <w:num w:numId="28" w16cid:durableId="1469518954">
    <w:abstractNumId w:val="36"/>
  </w:num>
  <w:num w:numId="29" w16cid:durableId="280429113">
    <w:abstractNumId w:val="7"/>
  </w:num>
  <w:num w:numId="30" w16cid:durableId="2102337902">
    <w:abstractNumId w:val="40"/>
  </w:num>
  <w:num w:numId="31" w16cid:durableId="687029075">
    <w:abstractNumId w:val="5"/>
  </w:num>
  <w:num w:numId="32" w16cid:durableId="1712916609">
    <w:abstractNumId w:val="41"/>
  </w:num>
  <w:num w:numId="33" w16cid:durableId="181671435">
    <w:abstractNumId w:val="9"/>
  </w:num>
  <w:num w:numId="34" w16cid:durableId="619529930">
    <w:abstractNumId w:val="23"/>
  </w:num>
  <w:num w:numId="35" w16cid:durableId="2009359751">
    <w:abstractNumId w:val="15"/>
  </w:num>
  <w:num w:numId="36" w16cid:durableId="1537235754">
    <w:abstractNumId w:val="16"/>
  </w:num>
  <w:num w:numId="37" w16cid:durableId="1961842216">
    <w:abstractNumId w:val="6"/>
  </w:num>
  <w:num w:numId="38" w16cid:durableId="1154956769">
    <w:abstractNumId w:val="13"/>
  </w:num>
  <w:num w:numId="39" w16cid:durableId="1548371906">
    <w:abstractNumId w:val="4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85987331">
    <w:abstractNumId w:val="37"/>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06951331">
    <w:abstractNumId w:val="8"/>
  </w:num>
  <w:num w:numId="42" w16cid:durableId="359479402">
    <w:abstractNumId w:val="2"/>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66961363">
    <w:abstractNumId w:val="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1A0"/>
    <w:rsid w:val="000046B2"/>
    <w:rsid w:val="000047C1"/>
    <w:rsid w:val="000047FF"/>
    <w:rsid w:val="0000666D"/>
    <w:rsid w:val="00006F3C"/>
    <w:rsid w:val="00007DDB"/>
    <w:rsid w:val="00007F64"/>
    <w:rsid w:val="000110BE"/>
    <w:rsid w:val="00014B53"/>
    <w:rsid w:val="000169B3"/>
    <w:rsid w:val="00016A73"/>
    <w:rsid w:val="000253C8"/>
    <w:rsid w:val="00025FC8"/>
    <w:rsid w:val="00026B55"/>
    <w:rsid w:val="00027170"/>
    <w:rsid w:val="000276AA"/>
    <w:rsid w:val="000303F2"/>
    <w:rsid w:val="00031025"/>
    <w:rsid w:val="00032312"/>
    <w:rsid w:val="00032D47"/>
    <w:rsid w:val="0003585E"/>
    <w:rsid w:val="00040B87"/>
    <w:rsid w:val="000416CC"/>
    <w:rsid w:val="00041C26"/>
    <w:rsid w:val="00043027"/>
    <w:rsid w:val="0004357B"/>
    <w:rsid w:val="00043832"/>
    <w:rsid w:val="0004399C"/>
    <w:rsid w:val="00044511"/>
    <w:rsid w:val="0004617D"/>
    <w:rsid w:val="00046249"/>
    <w:rsid w:val="000479BF"/>
    <w:rsid w:val="0005148A"/>
    <w:rsid w:val="00052367"/>
    <w:rsid w:val="000528ED"/>
    <w:rsid w:val="00052C44"/>
    <w:rsid w:val="00055318"/>
    <w:rsid w:val="000572A4"/>
    <w:rsid w:val="00060B2D"/>
    <w:rsid w:val="000614FC"/>
    <w:rsid w:val="0006494E"/>
    <w:rsid w:val="00066E3B"/>
    <w:rsid w:val="00066FAE"/>
    <w:rsid w:val="000678BE"/>
    <w:rsid w:val="0007028F"/>
    <w:rsid w:val="00070A1A"/>
    <w:rsid w:val="00073265"/>
    <w:rsid w:val="000761A6"/>
    <w:rsid w:val="00077CED"/>
    <w:rsid w:val="00080AFD"/>
    <w:rsid w:val="0008117E"/>
    <w:rsid w:val="00081881"/>
    <w:rsid w:val="00084AFE"/>
    <w:rsid w:val="00086096"/>
    <w:rsid w:val="00087396"/>
    <w:rsid w:val="00092D59"/>
    <w:rsid w:val="00094B67"/>
    <w:rsid w:val="000951D9"/>
    <w:rsid w:val="0009551E"/>
    <w:rsid w:val="00095C50"/>
    <w:rsid w:val="00097B48"/>
    <w:rsid w:val="00097DD1"/>
    <w:rsid w:val="000A031B"/>
    <w:rsid w:val="000A0A23"/>
    <w:rsid w:val="000A14DB"/>
    <w:rsid w:val="000A16ED"/>
    <w:rsid w:val="000A239B"/>
    <w:rsid w:val="000A3413"/>
    <w:rsid w:val="000A574A"/>
    <w:rsid w:val="000A5D7D"/>
    <w:rsid w:val="000A63BF"/>
    <w:rsid w:val="000A65FD"/>
    <w:rsid w:val="000A785F"/>
    <w:rsid w:val="000B0A36"/>
    <w:rsid w:val="000B2E7F"/>
    <w:rsid w:val="000B3C9B"/>
    <w:rsid w:val="000B3EB6"/>
    <w:rsid w:val="000B42BB"/>
    <w:rsid w:val="000B49C0"/>
    <w:rsid w:val="000B5E84"/>
    <w:rsid w:val="000B6C80"/>
    <w:rsid w:val="000C0436"/>
    <w:rsid w:val="000C1DDC"/>
    <w:rsid w:val="000C22DC"/>
    <w:rsid w:val="000C29EF"/>
    <w:rsid w:val="000C366F"/>
    <w:rsid w:val="000C4AE5"/>
    <w:rsid w:val="000C7314"/>
    <w:rsid w:val="000D0F0B"/>
    <w:rsid w:val="000D19CB"/>
    <w:rsid w:val="000D1A36"/>
    <w:rsid w:val="000D4EE5"/>
    <w:rsid w:val="000D5276"/>
    <w:rsid w:val="000D60AB"/>
    <w:rsid w:val="000D63CD"/>
    <w:rsid w:val="000D70AA"/>
    <w:rsid w:val="000D74B5"/>
    <w:rsid w:val="000E087D"/>
    <w:rsid w:val="000E5F7D"/>
    <w:rsid w:val="000E6EE9"/>
    <w:rsid w:val="000F0C70"/>
    <w:rsid w:val="000F2FA9"/>
    <w:rsid w:val="000F3CD2"/>
    <w:rsid w:val="000F42D7"/>
    <w:rsid w:val="000F53E3"/>
    <w:rsid w:val="000F63EE"/>
    <w:rsid w:val="000F6EF1"/>
    <w:rsid w:val="000F7F66"/>
    <w:rsid w:val="00101A9B"/>
    <w:rsid w:val="001022AD"/>
    <w:rsid w:val="00103CF8"/>
    <w:rsid w:val="001043FF"/>
    <w:rsid w:val="00105723"/>
    <w:rsid w:val="00105D93"/>
    <w:rsid w:val="00107C3A"/>
    <w:rsid w:val="001107DF"/>
    <w:rsid w:val="0011457A"/>
    <w:rsid w:val="00114FA7"/>
    <w:rsid w:val="00115282"/>
    <w:rsid w:val="0011681E"/>
    <w:rsid w:val="00117274"/>
    <w:rsid w:val="00117F4F"/>
    <w:rsid w:val="001204E1"/>
    <w:rsid w:val="00121726"/>
    <w:rsid w:val="001222BA"/>
    <w:rsid w:val="00122815"/>
    <w:rsid w:val="0012350E"/>
    <w:rsid w:val="001251E3"/>
    <w:rsid w:val="00127559"/>
    <w:rsid w:val="0012769E"/>
    <w:rsid w:val="001277C9"/>
    <w:rsid w:val="00127804"/>
    <w:rsid w:val="00127A12"/>
    <w:rsid w:val="00130578"/>
    <w:rsid w:val="00131BDF"/>
    <w:rsid w:val="00132A78"/>
    <w:rsid w:val="00132D7D"/>
    <w:rsid w:val="00132DC6"/>
    <w:rsid w:val="0013319D"/>
    <w:rsid w:val="00134503"/>
    <w:rsid w:val="001369B2"/>
    <w:rsid w:val="00140129"/>
    <w:rsid w:val="001418C7"/>
    <w:rsid w:val="001419D8"/>
    <w:rsid w:val="001422F2"/>
    <w:rsid w:val="001431EF"/>
    <w:rsid w:val="001450CF"/>
    <w:rsid w:val="0014537E"/>
    <w:rsid w:val="00145650"/>
    <w:rsid w:val="00145D48"/>
    <w:rsid w:val="0014604F"/>
    <w:rsid w:val="00150339"/>
    <w:rsid w:val="00151028"/>
    <w:rsid w:val="001533EE"/>
    <w:rsid w:val="001548C8"/>
    <w:rsid w:val="00154B9D"/>
    <w:rsid w:val="001550A6"/>
    <w:rsid w:val="00155A5B"/>
    <w:rsid w:val="0015745B"/>
    <w:rsid w:val="001605DD"/>
    <w:rsid w:val="001612C4"/>
    <w:rsid w:val="001617E4"/>
    <w:rsid w:val="00163139"/>
    <w:rsid w:val="00166D91"/>
    <w:rsid w:val="001703FB"/>
    <w:rsid w:val="00170A1D"/>
    <w:rsid w:val="001719EA"/>
    <w:rsid w:val="00173390"/>
    <w:rsid w:val="00174610"/>
    <w:rsid w:val="00175A8D"/>
    <w:rsid w:val="00175D67"/>
    <w:rsid w:val="00176B01"/>
    <w:rsid w:val="00180D88"/>
    <w:rsid w:val="001823E8"/>
    <w:rsid w:val="001832E7"/>
    <w:rsid w:val="00184685"/>
    <w:rsid w:val="00186147"/>
    <w:rsid w:val="001862D9"/>
    <w:rsid w:val="00186410"/>
    <w:rsid w:val="00186A7A"/>
    <w:rsid w:val="00187442"/>
    <w:rsid w:val="001902D3"/>
    <w:rsid w:val="00190C57"/>
    <w:rsid w:val="001917AB"/>
    <w:rsid w:val="00191B30"/>
    <w:rsid w:val="0019299B"/>
    <w:rsid w:val="00193B37"/>
    <w:rsid w:val="00193B40"/>
    <w:rsid w:val="00196322"/>
    <w:rsid w:val="0019654F"/>
    <w:rsid w:val="001A051A"/>
    <w:rsid w:val="001A07C7"/>
    <w:rsid w:val="001A4A19"/>
    <w:rsid w:val="001A5213"/>
    <w:rsid w:val="001A771B"/>
    <w:rsid w:val="001A7EC1"/>
    <w:rsid w:val="001A7F5C"/>
    <w:rsid w:val="001B091C"/>
    <w:rsid w:val="001B0B76"/>
    <w:rsid w:val="001B0DAF"/>
    <w:rsid w:val="001B3075"/>
    <w:rsid w:val="001B72F1"/>
    <w:rsid w:val="001C144F"/>
    <w:rsid w:val="001C1919"/>
    <w:rsid w:val="001C1A03"/>
    <w:rsid w:val="001C4555"/>
    <w:rsid w:val="001C45CA"/>
    <w:rsid w:val="001C627A"/>
    <w:rsid w:val="001C7AF3"/>
    <w:rsid w:val="001D3321"/>
    <w:rsid w:val="001D3735"/>
    <w:rsid w:val="001D3736"/>
    <w:rsid w:val="001D3B86"/>
    <w:rsid w:val="001D3FFE"/>
    <w:rsid w:val="001D5F1C"/>
    <w:rsid w:val="001D6410"/>
    <w:rsid w:val="001E249A"/>
    <w:rsid w:val="001E2683"/>
    <w:rsid w:val="001E38BE"/>
    <w:rsid w:val="001E4156"/>
    <w:rsid w:val="001E549E"/>
    <w:rsid w:val="001E5EDE"/>
    <w:rsid w:val="001E7ED4"/>
    <w:rsid w:val="001F1C71"/>
    <w:rsid w:val="001F2F1D"/>
    <w:rsid w:val="001F5E09"/>
    <w:rsid w:val="001F6252"/>
    <w:rsid w:val="001F7839"/>
    <w:rsid w:val="001F7F6E"/>
    <w:rsid w:val="002002CF"/>
    <w:rsid w:val="0020082D"/>
    <w:rsid w:val="00201E03"/>
    <w:rsid w:val="002023B1"/>
    <w:rsid w:val="00202CB7"/>
    <w:rsid w:val="00202D10"/>
    <w:rsid w:val="00206339"/>
    <w:rsid w:val="00206581"/>
    <w:rsid w:val="002128BF"/>
    <w:rsid w:val="00214100"/>
    <w:rsid w:val="00215B17"/>
    <w:rsid w:val="00216196"/>
    <w:rsid w:val="002171D5"/>
    <w:rsid w:val="002209BE"/>
    <w:rsid w:val="0022186F"/>
    <w:rsid w:val="00221A11"/>
    <w:rsid w:val="00221C8C"/>
    <w:rsid w:val="00224CEA"/>
    <w:rsid w:val="00224EE6"/>
    <w:rsid w:val="002255DF"/>
    <w:rsid w:val="00231287"/>
    <w:rsid w:val="0023294C"/>
    <w:rsid w:val="00235766"/>
    <w:rsid w:val="00235DAC"/>
    <w:rsid w:val="00236019"/>
    <w:rsid w:val="00236759"/>
    <w:rsid w:val="002400AB"/>
    <w:rsid w:val="002403B5"/>
    <w:rsid w:val="0024206D"/>
    <w:rsid w:val="00243B34"/>
    <w:rsid w:val="00244E95"/>
    <w:rsid w:val="002466BE"/>
    <w:rsid w:val="002466FA"/>
    <w:rsid w:val="00247932"/>
    <w:rsid w:val="00250F39"/>
    <w:rsid w:val="00251795"/>
    <w:rsid w:val="00253843"/>
    <w:rsid w:val="00253C15"/>
    <w:rsid w:val="00254B63"/>
    <w:rsid w:val="002554EA"/>
    <w:rsid w:val="00255609"/>
    <w:rsid w:val="00255728"/>
    <w:rsid w:val="00260114"/>
    <w:rsid w:val="00260238"/>
    <w:rsid w:val="00262D92"/>
    <w:rsid w:val="00265477"/>
    <w:rsid w:val="00265D4B"/>
    <w:rsid w:val="00267A5D"/>
    <w:rsid w:val="00273A09"/>
    <w:rsid w:val="002746FA"/>
    <w:rsid w:val="00274BDC"/>
    <w:rsid w:val="00274FD7"/>
    <w:rsid w:val="00276674"/>
    <w:rsid w:val="00276961"/>
    <w:rsid w:val="00280474"/>
    <w:rsid w:val="00281496"/>
    <w:rsid w:val="002819C9"/>
    <w:rsid w:val="00281EB1"/>
    <w:rsid w:val="0028246C"/>
    <w:rsid w:val="00282567"/>
    <w:rsid w:val="002833B4"/>
    <w:rsid w:val="002834BD"/>
    <w:rsid w:val="002838F2"/>
    <w:rsid w:val="00283FDF"/>
    <w:rsid w:val="002845C3"/>
    <w:rsid w:val="002846AA"/>
    <w:rsid w:val="00284807"/>
    <w:rsid w:val="00284B70"/>
    <w:rsid w:val="0028558D"/>
    <w:rsid w:val="0028651B"/>
    <w:rsid w:val="0028657E"/>
    <w:rsid w:val="0028698A"/>
    <w:rsid w:val="0028767A"/>
    <w:rsid w:val="0029372E"/>
    <w:rsid w:val="00293E4E"/>
    <w:rsid w:val="00295232"/>
    <w:rsid w:val="00295357"/>
    <w:rsid w:val="002959EB"/>
    <w:rsid w:val="00296BA9"/>
    <w:rsid w:val="002A07E6"/>
    <w:rsid w:val="002A18B0"/>
    <w:rsid w:val="002A1F4C"/>
    <w:rsid w:val="002A3222"/>
    <w:rsid w:val="002A38A9"/>
    <w:rsid w:val="002A3A4C"/>
    <w:rsid w:val="002A4C92"/>
    <w:rsid w:val="002A6B9A"/>
    <w:rsid w:val="002A790A"/>
    <w:rsid w:val="002B4812"/>
    <w:rsid w:val="002B5AD7"/>
    <w:rsid w:val="002B5EEE"/>
    <w:rsid w:val="002B7696"/>
    <w:rsid w:val="002B770D"/>
    <w:rsid w:val="002B77FC"/>
    <w:rsid w:val="002B7A3E"/>
    <w:rsid w:val="002B7C7E"/>
    <w:rsid w:val="002C23C1"/>
    <w:rsid w:val="002C3074"/>
    <w:rsid w:val="002C34D9"/>
    <w:rsid w:val="002C614D"/>
    <w:rsid w:val="002C7D1E"/>
    <w:rsid w:val="002D07E2"/>
    <w:rsid w:val="002D08FB"/>
    <w:rsid w:val="002D0E68"/>
    <w:rsid w:val="002D1F00"/>
    <w:rsid w:val="002D3118"/>
    <w:rsid w:val="002D3852"/>
    <w:rsid w:val="002D4B41"/>
    <w:rsid w:val="002D5500"/>
    <w:rsid w:val="002D640E"/>
    <w:rsid w:val="002D687E"/>
    <w:rsid w:val="002E01F8"/>
    <w:rsid w:val="002E15F6"/>
    <w:rsid w:val="002E25BD"/>
    <w:rsid w:val="002E2D8F"/>
    <w:rsid w:val="002E478E"/>
    <w:rsid w:val="002E6E5A"/>
    <w:rsid w:val="002E71D5"/>
    <w:rsid w:val="002E7857"/>
    <w:rsid w:val="002F0DAB"/>
    <w:rsid w:val="002F1036"/>
    <w:rsid w:val="002F1C8E"/>
    <w:rsid w:val="002F1D8C"/>
    <w:rsid w:val="002F386A"/>
    <w:rsid w:val="002F40CC"/>
    <w:rsid w:val="002F43AF"/>
    <w:rsid w:val="002F5309"/>
    <w:rsid w:val="002F5A93"/>
    <w:rsid w:val="002F5D73"/>
    <w:rsid w:val="002F6C2D"/>
    <w:rsid w:val="002F6EF4"/>
    <w:rsid w:val="002F7BF5"/>
    <w:rsid w:val="0030047C"/>
    <w:rsid w:val="0030186D"/>
    <w:rsid w:val="003034B1"/>
    <w:rsid w:val="00303C47"/>
    <w:rsid w:val="00304012"/>
    <w:rsid w:val="0030599A"/>
    <w:rsid w:val="003059F0"/>
    <w:rsid w:val="00306DF3"/>
    <w:rsid w:val="0031047C"/>
    <w:rsid w:val="00310865"/>
    <w:rsid w:val="00310A5C"/>
    <w:rsid w:val="003123A1"/>
    <w:rsid w:val="00314588"/>
    <w:rsid w:val="00315580"/>
    <w:rsid w:val="00317863"/>
    <w:rsid w:val="00317C2F"/>
    <w:rsid w:val="00321B6C"/>
    <w:rsid w:val="00323F9F"/>
    <w:rsid w:val="003244CF"/>
    <w:rsid w:val="00324810"/>
    <w:rsid w:val="00324B6E"/>
    <w:rsid w:val="00325CC1"/>
    <w:rsid w:val="00326F99"/>
    <w:rsid w:val="00327774"/>
    <w:rsid w:val="00327A77"/>
    <w:rsid w:val="00331526"/>
    <w:rsid w:val="003328EF"/>
    <w:rsid w:val="003331BE"/>
    <w:rsid w:val="00333834"/>
    <w:rsid w:val="00333CA6"/>
    <w:rsid w:val="00334D96"/>
    <w:rsid w:val="00334EE2"/>
    <w:rsid w:val="00336AA9"/>
    <w:rsid w:val="00336C48"/>
    <w:rsid w:val="00337B50"/>
    <w:rsid w:val="00341B25"/>
    <w:rsid w:val="00343742"/>
    <w:rsid w:val="003453BF"/>
    <w:rsid w:val="0034610D"/>
    <w:rsid w:val="00351A68"/>
    <w:rsid w:val="00352545"/>
    <w:rsid w:val="00353639"/>
    <w:rsid w:val="003618D5"/>
    <w:rsid w:val="00361BE1"/>
    <w:rsid w:val="003624D9"/>
    <w:rsid w:val="00362EDB"/>
    <w:rsid w:val="003644AF"/>
    <w:rsid w:val="00364550"/>
    <w:rsid w:val="0036496D"/>
    <w:rsid w:val="00365C05"/>
    <w:rsid w:val="00365E1B"/>
    <w:rsid w:val="00372851"/>
    <w:rsid w:val="00375CAE"/>
    <w:rsid w:val="00375F2F"/>
    <w:rsid w:val="00376D53"/>
    <w:rsid w:val="00377B65"/>
    <w:rsid w:val="00383C97"/>
    <w:rsid w:val="0038442F"/>
    <w:rsid w:val="00385FAC"/>
    <w:rsid w:val="003908FC"/>
    <w:rsid w:val="00392F4B"/>
    <w:rsid w:val="0039318E"/>
    <w:rsid w:val="00395F77"/>
    <w:rsid w:val="00396BF0"/>
    <w:rsid w:val="00397C45"/>
    <w:rsid w:val="003A1857"/>
    <w:rsid w:val="003A1E63"/>
    <w:rsid w:val="003A3B59"/>
    <w:rsid w:val="003A468A"/>
    <w:rsid w:val="003A7081"/>
    <w:rsid w:val="003A7347"/>
    <w:rsid w:val="003B098D"/>
    <w:rsid w:val="003B0BD0"/>
    <w:rsid w:val="003B10C4"/>
    <w:rsid w:val="003B1536"/>
    <w:rsid w:val="003B4529"/>
    <w:rsid w:val="003B4A19"/>
    <w:rsid w:val="003B529F"/>
    <w:rsid w:val="003B5B6C"/>
    <w:rsid w:val="003C197A"/>
    <w:rsid w:val="003C1EBC"/>
    <w:rsid w:val="003C356F"/>
    <w:rsid w:val="003C3F69"/>
    <w:rsid w:val="003C5011"/>
    <w:rsid w:val="003C5624"/>
    <w:rsid w:val="003C57A5"/>
    <w:rsid w:val="003C5FBF"/>
    <w:rsid w:val="003C6E9E"/>
    <w:rsid w:val="003D0CFD"/>
    <w:rsid w:val="003D1040"/>
    <w:rsid w:val="003D16E0"/>
    <w:rsid w:val="003D2383"/>
    <w:rsid w:val="003D279A"/>
    <w:rsid w:val="003D45AF"/>
    <w:rsid w:val="003D47B9"/>
    <w:rsid w:val="003D4FCF"/>
    <w:rsid w:val="003D6DC9"/>
    <w:rsid w:val="003D7A94"/>
    <w:rsid w:val="003E072A"/>
    <w:rsid w:val="003E2B91"/>
    <w:rsid w:val="003E69F2"/>
    <w:rsid w:val="003E700F"/>
    <w:rsid w:val="003E77DA"/>
    <w:rsid w:val="003F1D85"/>
    <w:rsid w:val="003F231F"/>
    <w:rsid w:val="003F296D"/>
    <w:rsid w:val="003F528C"/>
    <w:rsid w:val="003F741A"/>
    <w:rsid w:val="0040058F"/>
    <w:rsid w:val="00400D38"/>
    <w:rsid w:val="004017B7"/>
    <w:rsid w:val="00401D90"/>
    <w:rsid w:val="0040310E"/>
    <w:rsid w:val="00405D6E"/>
    <w:rsid w:val="00406495"/>
    <w:rsid w:val="00406C13"/>
    <w:rsid w:val="004071DD"/>
    <w:rsid w:val="00407665"/>
    <w:rsid w:val="00407884"/>
    <w:rsid w:val="004079C8"/>
    <w:rsid w:val="004102DF"/>
    <w:rsid w:val="00410D3B"/>
    <w:rsid w:val="00411CC5"/>
    <w:rsid w:val="0041242C"/>
    <w:rsid w:val="004129D4"/>
    <w:rsid w:val="00412A90"/>
    <w:rsid w:val="00412EBE"/>
    <w:rsid w:val="0041364C"/>
    <w:rsid w:val="0041421E"/>
    <w:rsid w:val="0041481B"/>
    <w:rsid w:val="004159D4"/>
    <w:rsid w:val="00416A9D"/>
    <w:rsid w:val="00417DEE"/>
    <w:rsid w:val="00420A9D"/>
    <w:rsid w:val="004210F5"/>
    <w:rsid w:val="00421F08"/>
    <w:rsid w:val="0042292F"/>
    <w:rsid w:val="004238B6"/>
    <w:rsid w:val="00423CFD"/>
    <w:rsid w:val="00425D63"/>
    <w:rsid w:val="00425EA1"/>
    <w:rsid w:val="0042615D"/>
    <w:rsid w:val="004265B1"/>
    <w:rsid w:val="004271FF"/>
    <w:rsid w:val="004279E5"/>
    <w:rsid w:val="00427E39"/>
    <w:rsid w:val="00431FAB"/>
    <w:rsid w:val="00432382"/>
    <w:rsid w:val="0043287F"/>
    <w:rsid w:val="004330B2"/>
    <w:rsid w:val="0043377E"/>
    <w:rsid w:val="00435EAF"/>
    <w:rsid w:val="00435F89"/>
    <w:rsid w:val="0043671F"/>
    <w:rsid w:val="00437F88"/>
    <w:rsid w:val="004402B6"/>
    <w:rsid w:val="00440E1B"/>
    <w:rsid w:val="004435DC"/>
    <w:rsid w:val="00444838"/>
    <w:rsid w:val="00444E65"/>
    <w:rsid w:val="0044584F"/>
    <w:rsid w:val="00451A48"/>
    <w:rsid w:val="00451F2D"/>
    <w:rsid w:val="0045280C"/>
    <w:rsid w:val="00452A54"/>
    <w:rsid w:val="00454774"/>
    <w:rsid w:val="00457CD4"/>
    <w:rsid w:val="004648C8"/>
    <w:rsid w:val="00465A05"/>
    <w:rsid w:val="004678B2"/>
    <w:rsid w:val="004705F6"/>
    <w:rsid w:val="00470727"/>
    <w:rsid w:val="00470BBF"/>
    <w:rsid w:val="0047247C"/>
    <w:rsid w:val="0047300B"/>
    <w:rsid w:val="00473685"/>
    <w:rsid w:val="00474CD7"/>
    <w:rsid w:val="004767F9"/>
    <w:rsid w:val="004773F4"/>
    <w:rsid w:val="00481C13"/>
    <w:rsid w:val="00483379"/>
    <w:rsid w:val="00486A4E"/>
    <w:rsid w:val="00487776"/>
    <w:rsid w:val="00490037"/>
    <w:rsid w:val="00490797"/>
    <w:rsid w:val="00491581"/>
    <w:rsid w:val="00491985"/>
    <w:rsid w:val="00493F10"/>
    <w:rsid w:val="00494222"/>
    <w:rsid w:val="00494779"/>
    <w:rsid w:val="004A169B"/>
    <w:rsid w:val="004A1F18"/>
    <w:rsid w:val="004A4721"/>
    <w:rsid w:val="004A5D3C"/>
    <w:rsid w:val="004A7D91"/>
    <w:rsid w:val="004B23D3"/>
    <w:rsid w:val="004B3A62"/>
    <w:rsid w:val="004B3B25"/>
    <w:rsid w:val="004B4259"/>
    <w:rsid w:val="004B7168"/>
    <w:rsid w:val="004B7DDB"/>
    <w:rsid w:val="004C0EFF"/>
    <w:rsid w:val="004C1CEF"/>
    <w:rsid w:val="004C1E72"/>
    <w:rsid w:val="004C21D9"/>
    <w:rsid w:val="004C3481"/>
    <w:rsid w:val="004C4288"/>
    <w:rsid w:val="004C472F"/>
    <w:rsid w:val="004C47EF"/>
    <w:rsid w:val="004C53E3"/>
    <w:rsid w:val="004C5EA0"/>
    <w:rsid w:val="004C66E3"/>
    <w:rsid w:val="004C671C"/>
    <w:rsid w:val="004C6B9B"/>
    <w:rsid w:val="004C7107"/>
    <w:rsid w:val="004C77C6"/>
    <w:rsid w:val="004C79CA"/>
    <w:rsid w:val="004C7BB9"/>
    <w:rsid w:val="004D0C73"/>
    <w:rsid w:val="004D1AA7"/>
    <w:rsid w:val="004D1F15"/>
    <w:rsid w:val="004D2263"/>
    <w:rsid w:val="004D6818"/>
    <w:rsid w:val="004D6A84"/>
    <w:rsid w:val="004D6F5A"/>
    <w:rsid w:val="004D7AC9"/>
    <w:rsid w:val="004E0AEF"/>
    <w:rsid w:val="004E4198"/>
    <w:rsid w:val="004E723A"/>
    <w:rsid w:val="004E7A74"/>
    <w:rsid w:val="004F2FE9"/>
    <w:rsid w:val="004F35D6"/>
    <w:rsid w:val="004F4D43"/>
    <w:rsid w:val="004F66CB"/>
    <w:rsid w:val="004F7088"/>
    <w:rsid w:val="005000D8"/>
    <w:rsid w:val="005002D2"/>
    <w:rsid w:val="0050047C"/>
    <w:rsid w:val="00500B45"/>
    <w:rsid w:val="005014C6"/>
    <w:rsid w:val="00502BB8"/>
    <w:rsid w:val="00502CF2"/>
    <w:rsid w:val="00502DC1"/>
    <w:rsid w:val="00502F90"/>
    <w:rsid w:val="005031B3"/>
    <w:rsid w:val="00503257"/>
    <w:rsid w:val="00503732"/>
    <w:rsid w:val="00503937"/>
    <w:rsid w:val="005051CA"/>
    <w:rsid w:val="00505A16"/>
    <w:rsid w:val="005066D2"/>
    <w:rsid w:val="00506EBA"/>
    <w:rsid w:val="00507243"/>
    <w:rsid w:val="00513B6A"/>
    <w:rsid w:val="00513BA5"/>
    <w:rsid w:val="00514CDD"/>
    <w:rsid w:val="00514DE8"/>
    <w:rsid w:val="00516402"/>
    <w:rsid w:val="00520F5A"/>
    <w:rsid w:val="00521B44"/>
    <w:rsid w:val="005224FB"/>
    <w:rsid w:val="00523853"/>
    <w:rsid w:val="005239CE"/>
    <w:rsid w:val="00524226"/>
    <w:rsid w:val="0052441A"/>
    <w:rsid w:val="00525E16"/>
    <w:rsid w:val="00525E8E"/>
    <w:rsid w:val="00525F95"/>
    <w:rsid w:val="00526E43"/>
    <w:rsid w:val="005312F9"/>
    <w:rsid w:val="00531D92"/>
    <w:rsid w:val="0053229D"/>
    <w:rsid w:val="00532CBD"/>
    <w:rsid w:val="00533A2F"/>
    <w:rsid w:val="00535361"/>
    <w:rsid w:val="00535A09"/>
    <w:rsid w:val="00535A61"/>
    <w:rsid w:val="0053634A"/>
    <w:rsid w:val="00536908"/>
    <w:rsid w:val="00537589"/>
    <w:rsid w:val="00537E7A"/>
    <w:rsid w:val="005406BE"/>
    <w:rsid w:val="0054171B"/>
    <w:rsid w:val="00541D99"/>
    <w:rsid w:val="00543B32"/>
    <w:rsid w:val="00546319"/>
    <w:rsid w:val="00546A0D"/>
    <w:rsid w:val="00550AC1"/>
    <w:rsid w:val="00552693"/>
    <w:rsid w:val="00553986"/>
    <w:rsid w:val="005543BA"/>
    <w:rsid w:val="005556EA"/>
    <w:rsid w:val="005556F6"/>
    <w:rsid w:val="005560CF"/>
    <w:rsid w:val="005567D1"/>
    <w:rsid w:val="00557849"/>
    <w:rsid w:val="00557B2D"/>
    <w:rsid w:val="0056053B"/>
    <w:rsid w:val="00562047"/>
    <w:rsid w:val="005624BE"/>
    <w:rsid w:val="005624E1"/>
    <w:rsid w:val="00562B62"/>
    <w:rsid w:val="005635F2"/>
    <w:rsid w:val="00563CB5"/>
    <w:rsid w:val="00564BFC"/>
    <w:rsid w:val="005665CB"/>
    <w:rsid w:val="00566636"/>
    <w:rsid w:val="0056686C"/>
    <w:rsid w:val="00571078"/>
    <w:rsid w:val="0057207C"/>
    <w:rsid w:val="00572C71"/>
    <w:rsid w:val="00573603"/>
    <w:rsid w:val="00573BDF"/>
    <w:rsid w:val="0057506E"/>
    <w:rsid w:val="00575758"/>
    <w:rsid w:val="00575CC8"/>
    <w:rsid w:val="00576489"/>
    <w:rsid w:val="0057690C"/>
    <w:rsid w:val="00577276"/>
    <w:rsid w:val="00577FB0"/>
    <w:rsid w:val="00581633"/>
    <w:rsid w:val="00582876"/>
    <w:rsid w:val="0058485D"/>
    <w:rsid w:val="00584EC8"/>
    <w:rsid w:val="00584FFF"/>
    <w:rsid w:val="00586197"/>
    <w:rsid w:val="0058662E"/>
    <w:rsid w:val="005869EB"/>
    <w:rsid w:val="00593676"/>
    <w:rsid w:val="0059367F"/>
    <w:rsid w:val="00593D0F"/>
    <w:rsid w:val="00595831"/>
    <w:rsid w:val="0059692B"/>
    <w:rsid w:val="005A1208"/>
    <w:rsid w:val="005A209E"/>
    <w:rsid w:val="005A2784"/>
    <w:rsid w:val="005A2F2E"/>
    <w:rsid w:val="005A3B44"/>
    <w:rsid w:val="005A426D"/>
    <w:rsid w:val="005A5FDE"/>
    <w:rsid w:val="005A6831"/>
    <w:rsid w:val="005B01A0"/>
    <w:rsid w:val="005B081A"/>
    <w:rsid w:val="005B1963"/>
    <w:rsid w:val="005B1D50"/>
    <w:rsid w:val="005B1ECF"/>
    <w:rsid w:val="005B2331"/>
    <w:rsid w:val="005B3DF9"/>
    <w:rsid w:val="005B42DA"/>
    <w:rsid w:val="005B6D4C"/>
    <w:rsid w:val="005C0186"/>
    <w:rsid w:val="005C14B4"/>
    <w:rsid w:val="005C17D7"/>
    <w:rsid w:val="005C32FD"/>
    <w:rsid w:val="005C41AE"/>
    <w:rsid w:val="005C55D3"/>
    <w:rsid w:val="005C6162"/>
    <w:rsid w:val="005C656B"/>
    <w:rsid w:val="005C66F0"/>
    <w:rsid w:val="005C73D3"/>
    <w:rsid w:val="005D004E"/>
    <w:rsid w:val="005D0140"/>
    <w:rsid w:val="005D23AA"/>
    <w:rsid w:val="005D2CCE"/>
    <w:rsid w:val="005D6447"/>
    <w:rsid w:val="005D67EB"/>
    <w:rsid w:val="005D6A83"/>
    <w:rsid w:val="005D73A9"/>
    <w:rsid w:val="005D78D6"/>
    <w:rsid w:val="005D7A56"/>
    <w:rsid w:val="005D7C52"/>
    <w:rsid w:val="005E333C"/>
    <w:rsid w:val="005E4037"/>
    <w:rsid w:val="005E7B06"/>
    <w:rsid w:val="005E7C4B"/>
    <w:rsid w:val="005F0B44"/>
    <w:rsid w:val="005F1306"/>
    <w:rsid w:val="005F2A8A"/>
    <w:rsid w:val="005F5E58"/>
    <w:rsid w:val="005F6969"/>
    <w:rsid w:val="005F7453"/>
    <w:rsid w:val="005F75DF"/>
    <w:rsid w:val="00600702"/>
    <w:rsid w:val="00600B92"/>
    <w:rsid w:val="00601118"/>
    <w:rsid w:val="00601BF4"/>
    <w:rsid w:val="00602289"/>
    <w:rsid w:val="0060233C"/>
    <w:rsid w:val="00602652"/>
    <w:rsid w:val="0060272F"/>
    <w:rsid w:val="006034C5"/>
    <w:rsid w:val="00604169"/>
    <w:rsid w:val="00604AAC"/>
    <w:rsid w:val="00605571"/>
    <w:rsid w:val="00606ED8"/>
    <w:rsid w:val="00610F14"/>
    <w:rsid w:val="00612767"/>
    <w:rsid w:val="00613B2D"/>
    <w:rsid w:val="00614314"/>
    <w:rsid w:val="00615546"/>
    <w:rsid w:val="0061578F"/>
    <w:rsid w:val="00615DAA"/>
    <w:rsid w:val="00620407"/>
    <w:rsid w:val="0062305D"/>
    <w:rsid w:val="0062398B"/>
    <w:rsid w:val="0063033B"/>
    <w:rsid w:val="0063170D"/>
    <w:rsid w:val="00631A0D"/>
    <w:rsid w:val="00631DA8"/>
    <w:rsid w:val="00632DE4"/>
    <w:rsid w:val="00636B3B"/>
    <w:rsid w:val="00637A9E"/>
    <w:rsid w:val="00640FE6"/>
    <w:rsid w:val="0064122C"/>
    <w:rsid w:val="0064276E"/>
    <w:rsid w:val="00642D9B"/>
    <w:rsid w:val="00643E6A"/>
    <w:rsid w:val="00647557"/>
    <w:rsid w:val="00647604"/>
    <w:rsid w:val="00650296"/>
    <w:rsid w:val="00650795"/>
    <w:rsid w:val="00653075"/>
    <w:rsid w:val="0065315E"/>
    <w:rsid w:val="006531A9"/>
    <w:rsid w:val="00653657"/>
    <w:rsid w:val="00653C63"/>
    <w:rsid w:val="0065473F"/>
    <w:rsid w:val="00656322"/>
    <w:rsid w:val="006564AF"/>
    <w:rsid w:val="00657185"/>
    <w:rsid w:val="0066027D"/>
    <w:rsid w:val="00660A47"/>
    <w:rsid w:val="00660DEE"/>
    <w:rsid w:val="0066150B"/>
    <w:rsid w:val="00662674"/>
    <w:rsid w:val="006632FF"/>
    <w:rsid w:val="00663E7D"/>
    <w:rsid w:val="00664BC6"/>
    <w:rsid w:val="006661E6"/>
    <w:rsid w:val="00666EB6"/>
    <w:rsid w:val="006706F1"/>
    <w:rsid w:val="00672190"/>
    <w:rsid w:val="006724F6"/>
    <w:rsid w:val="00672E77"/>
    <w:rsid w:val="0067314A"/>
    <w:rsid w:val="00673F64"/>
    <w:rsid w:val="00674828"/>
    <w:rsid w:val="006765AA"/>
    <w:rsid w:val="006768BB"/>
    <w:rsid w:val="0067711E"/>
    <w:rsid w:val="00677A0C"/>
    <w:rsid w:val="00681720"/>
    <w:rsid w:val="00681DA8"/>
    <w:rsid w:val="00682146"/>
    <w:rsid w:val="00683191"/>
    <w:rsid w:val="0068404A"/>
    <w:rsid w:val="00685B69"/>
    <w:rsid w:val="006866A8"/>
    <w:rsid w:val="00686DCA"/>
    <w:rsid w:val="006872FB"/>
    <w:rsid w:val="0068751B"/>
    <w:rsid w:val="0069063D"/>
    <w:rsid w:val="00690EAA"/>
    <w:rsid w:val="00691CC0"/>
    <w:rsid w:val="00691D50"/>
    <w:rsid w:val="0069240C"/>
    <w:rsid w:val="00693C69"/>
    <w:rsid w:val="006948A5"/>
    <w:rsid w:val="00695377"/>
    <w:rsid w:val="00696F51"/>
    <w:rsid w:val="00697204"/>
    <w:rsid w:val="00697EDD"/>
    <w:rsid w:val="006A1872"/>
    <w:rsid w:val="006A22FD"/>
    <w:rsid w:val="006A2F03"/>
    <w:rsid w:val="006A302C"/>
    <w:rsid w:val="006A3807"/>
    <w:rsid w:val="006A529D"/>
    <w:rsid w:val="006A5D7F"/>
    <w:rsid w:val="006A6540"/>
    <w:rsid w:val="006B1D15"/>
    <w:rsid w:val="006B2124"/>
    <w:rsid w:val="006B24CC"/>
    <w:rsid w:val="006B2510"/>
    <w:rsid w:val="006B36E3"/>
    <w:rsid w:val="006B3A18"/>
    <w:rsid w:val="006B4B33"/>
    <w:rsid w:val="006B52FE"/>
    <w:rsid w:val="006B5388"/>
    <w:rsid w:val="006B5F19"/>
    <w:rsid w:val="006B6204"/>
    <w:rsid w:val="006B69DC"/>
    <w:rsid w:val="006C21A5"/>
    <w:rsid w:val="006C2CF4"/>
    <w:rsid w:val="006C4927"/>
    <w:rsid w:val="006C4A75"/>
    <w:rsid w:val="006C7940"/>
    <w:rsid w:val="006C7EF1"/>
    <w:rsid w:val="006D3B94"/>
    <w:rsid w:val="006D410E"/>
    <w:rsid w:val="006D53C8"/>
    <w:rsid w:val="006D5A20"/>
    <w:rsid w:val="006D5A88"/>
    <w:rsid w:val="006D5ABA"/>
    <w:rsid w:val="006D60BF"/>
    <w:rsid w:val="006E04FB"/>
    <w:rsid w:val="006E144E"/>
    <w:rsid w:val="006E272F"/>
    <w:rsid w:val="006E3109"/>
    <w:rsid w:val="006E3125"/>
    <w:rsid w:val="006E325C"/>
    <w:rsid w:val="006E38CE"/>
    <w:rsid w:val="006E3E25"/>
    <w:rsid w:val="006E415A"/>
    <w:rsid w:val="006E5752"/>
    <w:rsid w:val="006E58A9"/>
    <w:rsid w:val="006F1188"/>
    <w:rsid w:val="006F24E8"/>
    <w:rsid w:val="006F293D"/>
    <w:rsid w:val="006F2B2C"/>
    <w:rsid w:val="006F2D8A"/>
    <w:rsid w:val="006F6A1C"/>
    <w:rsid w:val="006F7987"/>
    <w:rsid w:val="00701E17"/>
    <w:rsid w:val="00701F37"/>
    <w:rsid w:val="007024CE"/>
    <w:rsid w:val="00704144"/>
    <w:rsid w:val="00704569"/>
    <w:rsid w:val="007059EA"/>
    <w:rsid w:val="0070636F"/>
    <w:rsid w:val="00706FF5"/>
    <w:rsid w:val="007074BC"/>
    <w:rsid w:val="00710146"/>
    <w:rsid w:val="00710BD3"/>
    <w:rsid w:val="007110E5"/>
    <w:rsid w:val="0071127F"/>
    <w:rsid w:val="00712B3F"/>
    <w:rsid w:val="00712BB6"/>
    <w:rsid w:val="007141BA"/>
    <w:rsid w:val="00715850"/>
    <w:rsid w:val="0071687F"/>
    <w:rsid w:val="0071693F"/>
    <w:rsid w:val="00720ABB"/>
    <w:rsid w:val="00720C85"/>
    <w:rsid w:val="00721B2A"/>
    <w:rsid w:val="007236B0"/>
    <w:rsid w:val="00723ECB"/>
    <w:rsid w:val="00724033"/>
    <w:rsid w:val="00724C28"/>
    <w:rsid w:val="00725272"/>
    <w:rsid w:val="00725646"/>
    <w:rsid w:val="007256E2"/>
    <w:rsid w:val="00725A25"/>
    <w:rsid w:val="00725F8A"/>
    <w:rsid w:val="0072692E"/>
    <w:rsid w:val="007269D8"/>
    <w:rsid w:val="0072712C"/>
    <w:rsid w:val="007271C0"/>
    <w:rsid w:val="00731155"/>
    <w:rsid w:val="00732364"/>
    <w:rsid w:val="00734BB4"/>
    <w:rsid w:val="007369EA"/>
    <w:rsid w:val="00736E80"/>
    <w:rsid w:val="00736F34"/>
    <w:rsid w:val="00740DF5"/>
    <w:rsid w:val="00741291"/>
    <w:rsid w:val="00742748"/>
    <w:rsid w:val="00743CED"/>
    <w:rsid w:val="00744A80"/>
    <w:rsid w:val="00744B69"/>
    <w:rsid w:val="00746336"/>
    <w:rsid w:val="007469D1"/>
    <w:rsid w:val="007473D9"/>
    <w:rsid w:val="0074779B"/>
    <w:rsid w:val="00747B97"/>
    <w:rsid w:val="00751A25"/>
    <w:rsid w:val="00753AC2"/>
    <w:rsid w:val="00753C70"/>
    <w:rsid w:val="00753F52"/>
    <w:rsid w:val="00755273"/>
    <w:rsid w:val="00755E91"/>
    <w:rsid w:val="007564E8"/>
    <w:rsid w:val="007570EF"/>
    <w:rsid w:val="00757A5E"/>
    <w:rsid w:val="00763B1A"/>
    <w:rsid w:val="007645CA"/>
    <w:rsid w:val="007654E2"/>
    <w:rsid w:val="00766FF9"/>
    <w:rsid w:val="00772238"/>
    <w:rsid w:val="00774007"/>
    <w:rsid w:val="007744AC"/>
    <w:rsid w:val="00776200"/>
    <w:rsid w:val="0077655B"/>
    <w:rsid w:val="00777803"/>
    <w:rsid w:val="007806B2"/>
    <w:rsid w:val="007808A9"/>
    <w:rsid w:val="00781260"/>
    <w:rsid w:val="0078425C"/>
    <w:rsid w:val="00785AA8"/>
    <w:rsid w:val="0078603D"/>
    <w:rsid w:val="0078634A"/>
    <w:rsid w:val="00786C9C"/>
    <w:rsid w:val="00787E52"/>
    <w:rsid w:val="0079044F"/>
    <w:rsid w:val="00791112"/>
    <w:rsid w:val="00791189"/>
    <w:rsid w:val="00793223"/>
    <w:rsid w:val="00793EAB"/>
    <w:rsid w:val="00795ECB"/>
    <w:rsid w:val="00796A96"/>
    <w:rsid w:val="007A12A3"/>
    <w:rsid w:val="007A130D"/>
    <w:rsid w:val="007A1679"/>
    <w:rsid w:val="007A1E9D"/>
    <w:rsid w:val="007A1F7F"/>
    <w:rsid w:val="007A2782"/>
    <w:rsid w:val="007A5F5B"/>
    <w:rsid w:val="007B2071"/>
    <w:rsid w:val="007B23E7"/>
    <w:rsid w:val="007B32A7"/>
    <w:rsid w:val="007B40E9"/>
    <w:rsid w:val="007B5C58"/>
    <w:rsid w:val="007B6E90"/>
    <w:rsid w:val="007B7E32"/>
    <w:rsid w:val="007C0217"/>
    <w:rsid w:val="007C07AE"/>
    <w:rsid w:val="007C0DB3"/>
    <w:rsid w:val="007C172A"/>
    <w:rsid w:val="007C1D12"/>
    <w:rsid w:val="007C580A"/>
    <w:rsid w:val="007C5C5A"/>
    <w:rsid w:val="007C6470"/>
    <w:rsid w:val="007D1A4F"/>
    <w:rsid w:val="007D42A0"/>
    <w:rsid w:val="007D6895"/>
    <w:rsid w:val="007D7E2F"/>
    <w:rsid w:val="007E024A"/>
    <w:rsid w:val="007E083F"/>
    <w:rsid w:val="007E1017"/>
    <w:rsid w:val="007E1AE5"/>
    <w:rsid w:val="007E231D"/>
    <w:rsid w:val="007E3247"/>
    <w:rsid w:val="007E384C"/>
    <w:rsid w:val="007E4E1A"/>
    <w:rsid w:val="007E5B6A"/>
    <w:rsid w:val="007E7EF0"/>
    <w:rsid w:val="007F0433"/>
    <w:rsid w:val="007F16E2"/>
    <w:rsid w:val="007F22DA"/>
    <w:rsid w:val="007F41A2"/>
    <w:rsid w:val="007F41A9"/>
    <w:rsid w:val="007F66B8"/>
    <w:rsid w:val="007F6956"/>
    <w:rsid w:val="007F6FF8"/>
    <w:rsid w:val="0080232D"/>
    <w:rsid w:val="008045C2"/>
    <w:rsid w:val="00804821"/>
    <w:rsid w:val="008052EA"/>
    <w:rsid w:val="00805498"/>
    <w:rsid w:val="00806B79"/>
    <w:rsid w:val="00811FFB"/>
    <w:rsid w:val="00812BE6"/>
    <w:rsid w:val="00812DC2"/>
    <w:rsid w:val="0081393D"/>
    <w:rsid w:val="00813A0D"/>
    <w:rsid w:val="00813E4A"/>
    <w:rsid w:val="008146B0"/>
    <w:rsid w:val="00815C57"/>
    <w:rsid w:val="00817468"/>
    <w:rsid w:val="00821284"/>
    <w:rsid w:val="00823716"/>
    <w:rsid w:val="00826FB6"/>
    <w:rsid w:val="008274FE"/>
    <w:rsid w:val="00831440"/>
    <w:rsid w:val="008329FA"/>
    <w:rsid w:val="008338F0"/>
    <w:rsid w:val="00834522"/>
    <w:rsid w:val="008345E9"/>
    <w:rsid w:val="008351EE"/>
    <w:rsid w:val="00835972"/>
    <w:rsid w:val="00835A70"/>
    <w:rsid w:val="00837D5E"/>
    <w:rsid w:val="008420B4"/>
    <w:rsid w:val="00842D23"/>
    <w:rsid w:val="0084361C"/>
    <w:rsid w:val="00844986"/>
    <w:rsid w:val="008451EA"/>
    <w:rsid w:val="0084774D"/>
    <w:rsid w:val="00850EE0"/>
    <w:rsid w:val="008524B2"/>
    <w:rsid w:val="00854B57"/>
    <w:rsid w:val="00854E01"/>
    <w:rsid w:val="00855903"/>
    <w:rsid w:val="008559FD"/>
    <w:rsid w:val="00855A9A"/>
    <w:rsid w:val="00856243"/>
    <w:rsid w:val="00856EBD"/>
    <w:rsid w:val="00856FB3"/>
    <w:rsid w:val="00857258"/>
    <w:rsid w:val="00860E16"/>
    <w:rsid w:val="00861244"/>
    <w:rsid w:val="00861D1D"/>
    <w:rsid w:val="00862AFF"/>
    <w:rsid w:val="00863B70"/>
    <w:rsid w:val="00865BBD"/>
    <w:rsid w:val="00866BB0"/>
    <w:rsid w:val="00866C9F"/>
    <w:rsid w:val="008703D1"/>
    <w:rsid w:val="00872C42"/>
    <w:rsid w:val="00872CF1"/>
    <w:rsid w:val="00874003"/>
    <w:rsid w:val="008742F9"/>
    <w:rsid w:val="008747AD"/>
    <w:rsid w:val="008758FD"/>
    <w:rsid w:val="00875ACC"/>
    <w:rsid w:val="00876472"/>
    <w:rsid w:val="00876884"/>
    <w:rsid w:val="0088033D"/>
    <w:rsid w:val="00880FFA"/>
    <w:rsid w:val="00881AED"/>
    <w:rsid w:val="00882985"/>
    <w:rsid w:val="008848EB"/>
    <w:rsid w:val="00884EDA"/>
    <w:rsid w:val="00887953"/>
    <w:rsid w:val="00887AB8"/>
    <w:rsid w:val="00890919"/>
    <w:rsid w:val="00891288"/>
    <w:rsid w:val="008931FB"/>
    <w:rsid w:val="008937B5"/>
    <w:rsid w:val="008949C3"/>
    <w:rsid w:val="00894A71"/>
    <w:rsid w:val="00895B42"/>
    <w:rsid w:val="00897DE8"/>
    <w:rsid w:val="008A02AA"/>
    <w:rsid w:val="008A12EF"/>
    <w:rsid w:val="008A159B"/>
    <w:rsid w:val="008A247E"/>
    <w:rsid w:val="008A3495"/>
    <w:rsid w:val="008A3CBE"/>
    <w:rsid w:val="008A3F2D"/>
    <w:rsid w:val="008A46E3"/>
    <w:rsid w:val="008A48E2"/>
    <w:rsid w:val="008A4C24"/>
    <w:rsid w:val="008A5426"/>
    <w:rsid w:val="008A5E12"/>
    <w:rsid w:val="008A5F4C"/>
    <w:rsid w:val="008B075D"/>
    <w:rsid w:val="008B11C1"/>
    <w:rsid w:val="008B2145"/>
    <w:rsid w:val="008B2FC0"/>
    <w:rsid w:val="008B37E3"/>
    <w:rsid w:val="008B39BC"/>
    <w:rsid w:val="008B484C"/>
    <w:rsid w:val="008B681C"/>
    <w:rsid w:val="008B727D"/>
    <w:rsid w:val="008B760B"/>
    <w:rsid w:val="008C0113"/>
    <w:rsid w:val="008C59F0"/>
    <w:rsid w:val="008C6541"/>
    <w:rsid w:val="008C68C7"/>
    <w:rsid w:val="008C69AB"/>
    <w:rsid w:val="008C74EA"/>
    <w:rsid w:val="008C7EE8"/>
    <w:rsid w:val="008D086B"/>
    <w:rsid w:val="008D5D62"/>
    <w:rsid w:val="008D640F"/>
    <w:rsid w:val="008D69E5"/>
    <w:rsid w:val="008E416B"/>
    <w:rsid w:val="008E5BF5"/>
    <w:rsid w:val="008E6B02"/>
    <w:rsid w:val="008F023B"/>
    <w:rsid w:val="008F0F03"/>
    <w:rsid w:val="008F2251"/>
    <w:rsid w:val="008F30A5"/>
    <w:rsid w:val="008F512B"/>
    <w:rsid w:val="00903CDA"/>
    <w:rsid w:val="0090484F"/>
    <w:rsid w:val="00904AE5"/>
    <w:rsid w:val="00904AF6"/>
    <w:rsid w:val="009055B0"/>
    <w:rsid w:val="00906F34"/>
    <w:rsid w:val="00907E06"/>
    <w:rsid w:val="00911162"/>
    <w:rsid w:val="00915314"/>
    <w:rsid w:val="0091558C"/>
    <w:rsid w:val="00916DFB"/>
    <w:rsid w:val="00921E83"/>
    <w:rsid w:val="00921F01"/>
    <w:rsid w:val="00922729"/>
    <w:rsid w:val="00923B44"/>
    <w:rsid w:val="00924736"/>
    <w:rsid w:val="00924855"/>
    <w:rsid w:val="009265FA"/>
    <w:rsid w:val="0092777C"/>
    <w:rsid w:val="00927DAF"/>
    <w:rsid w:val="00931501"/>
    <w:rsid w:val="0093164B"/>
    <w:rsid w:val="009319DE"/>
    <w:rsid w:val="0093418E"/>
    <w:rsid w:val="00934874"/>
    <w:rsid w:val="00934F6E"/>
    <w:rsid w:val="0093511A"/>
    <w:rsid w:val="0093552A"/>
    <w:rsid w:val="00936743"/>
    <w:rsid w:val="00936DB0"/>
    <w:rsid w:val="0093749D"/>
    <w:rsid w:val="00937C2C"/>
    <w:rsid w:val="00937E16"/>
    <w:rsid w:val="0094117D"/>
    <w:rsid w:val="00942664"/>
    <w:rsid w:val="00942C89"/>
    <w:rsid w:val="00944B99"/>
    <w:rsid w:val="009471D1"/>
    <w:rsid w:val="009472CA"/>
    <w:rsid w:val="009506E2"/>
    <w:rsid w:val="00950CCF"/>
    <w:rsid w:val="00950D8E"/>
    <w:rsid w:val="009510AB"/>
    <w:rsid w:val="00951E71"/>
    <w:rsid w:val="00953633"/>
    <w:rsid w:val="00953896"/>
    <w:rsid w:val="0095550B"/>
    <w:rsid w:val="00956450"/>
    <w:rsid w:val="009612A0"/>
    <w:rsid w:val="0096570F"/>
    <w:rsid w:val="00966AEC"/>
    <w:rsid w:val="00966CB4"/>
    <w:rsid w:val="00967F47"/>
    <w:rsid w:val="00971D34"/>
    <w:rsid w:val="009723F9"/>
    <w:rsid w:val="009745CD"/>
    <w:rsid w:val="0097547B"/>
    <w:rsid w:val="00975F56"/>
    <w:rsid w:val="0097689E"/>
    <w:rsid w:val="00977F68"/>
    <w:rsid w:val="00981399"/>
    <w:rsid w:val="00981468"/>
    <w:rsid w:val="009815DC"/>
    <w:rsid w:val="009827C7"/>
    <w:rsid w:val="00982C14"/>
    <w:rsid w:val="00983762"/>
    <w:rsid w:val="009837CE"/>
    <w:rsid w:val="00985171"/>
    <w:rsid w:val="00986176"/>
    <w:rsid w:val="009864C9"/>
    <w:rsid w:val="00986CCC"/>
    <w:rsid w:val="009872A3"/>
    <w:rsid w:val="00990C47"/>
    <w:rsid w:val="00991147"/>
    <w:rsid w:val="00992444"/>
    <w:rsid w:val="00993066"/>
    <w:rsid w:val="00993C04"/>
    <w:rsid w:val="00994644"/>
    <w:rsid w:val="0099611F"/>
    <w:rsid w:val="00996B48"/>
    <w:rsid w:val="009A1148"/>
    <w:rsid w:val="009A1434"/>
    <w:rsid w:val="009A22FE"/>
    <w:rsid w:val="009A6E5B"/>
    <w:rsid w:val="009A6F1D"/>
    <w:rsid w:val="009A73A9"/>
    <w:rsid w:val="009B0A8F"/>
    <w:rsid w:val="009B0DC2"/>
    <w:rsid w:val="009B11BE"/>
    <w:rsid w:val="009B1AFA"/>
    <w:rsid w:val="009B4AB7"/>
    <w:rsid w:val="009B4AC7"/>
    <w:rsid w:val="009B4B2C"/>
    <w:rsid w:val="009B5735"/>
    <w:rsid w:val="009B7880"/>
    <w:rsid w:val="009C1459"/>
    <w:rsid w:val="009C3C29"/>
    <w:rsid w:val="009C49E3"/>
    <w:rsid w:val="009C4F5D"/>
    <w:rsid w:val="009C5621"/>
    <w:rsid w:val="009C5F35"/>
    <w:rsid w:val="009C6847"/>
    <w:rsid w:val="009D1BF8"/>
    <w:rsid w:val="009D30D1"/>
    <w:rsid w:val="009D5228"/>
    <w:rsid w:val="009E0813"/>
    <w:rsid w:val="009E0A58"/>
    <w:rsid w:val="009E0C14"/>
    <w:rsid w:val="009E13A7"/>
    <w:rsid w:val="009E290F"/>
    <w:rsid w:val="009E2EC1"/>
    <w:rsid w:val="009E3296"/>
    <w:rsid w:val="009E3487"/>
    <w:rsid w:val="009E4B9A"/>
    <w:rsid w:val="009E6AC8"/>
    <w:rsid w:val="009E7B5D"/>
    <w:rsid w:val="009E7F77"/>
    <w:rsid w:val="009F3378"/>
    <w:rsid w:val="009F51DE"/>
    <w:rsid w:val="009F6361"/>
    <w:rsid w:val="009F6F6C"/>
    <w:rsid w:val="00A00ACE"/>
    <w:rsid w:val="00A01D20"/>
    <w:rsid w:val="00A0252B"/>
    <w:rsid w:val="00A029FC"/>
    <w:rsid w:val="00A046C9"/>
    <w:rsid w:val="00A05B9A"/>
    <w:rsid w:val="00A0703C"/>
    <w:rsid w:val="00A070B0"/>
    <w:rsid w:val="00A12B55"/>
    <w:rsid w:val="00A149D3"/>
    <w:rsid w:val="00A17643"/>
    <w:rsid w:val="00A17A6A"/>
    <w:rsid w:val="00A20B08"/>
    <w:rsid w:val="00A2103B"/>
    <w:rsid w:val="00A21058"/>
    <w:rsid w:val="00A21FB8"/>
    <w:rsid w:val="00A22299"/>
    <w:rsid w:val="00A22475"/>
    <w:rsid w:val="00A22AF4"/>
    <w:rsid w:val="00A22F9E"/>
    <w:rsid w:val="00A23A80"/>
    <w:rsid w:val="00A24658"/>
    <w:rsid w:val="00A24A04"/>
    <w:rsid w:val="00A24EB7"/>
    <w:rsid w:val="00A26B7C"/>
    <w:rsid w:val="00A270BA"/>
    <w:rsid w:val="00A30F70"/>
    <w:rsid w:val="00A310D5"/>
    <w:rsid w:val="00A3148B"/>
    <w:rsid w:val="00A3185A"/>
    <w:rsid w:val="00A33735"/>
    <w:rsid w:val="00A3399E"/>
    <w:rsid w:val="00A344C4"/>
    <w:rsid w:val="00A36C9C"/>
    <w:rsid w:val="00A36FDD"/>
    <w:rsid w:val="00A40219"/>
    <w:rsid w:val="00A410EA"/>
    <w:rsid w:val="00A46100"/>
    <w:rsid w:val="00A52621"/>
    <w:rsid w:val="00A52C9A"/>
    <w:rsid w:val="00A5318D"/>
    <w:rsid w:val="00A561B3"/>
    <w:rsid w:val="00A57880"/>
    <w:rsid w:val="00A57ED3"/>
    <w:rsid w:val="00A60373"/>
    <w:rsid w:val="00A62D1D"/>
    <w:rsid w:val="00A647A6"/>
    <w:rsid w:val="00A65FE2"/>
    <w:rsid w:val="00A6623B"/>
    <w:rsid w:val="00A66E30"/>
    <w:rsid w:val="00A67258"/>
    <w:rsid w:val="00A67311"/>
    <w:rsid w:val="00A705EC"/>
    <w:rsid w:val="00A71D49"/>
    <w:rsid w:val="00A7230E"/>
    <w:rsid w:val="00A7233A"/>
    <w:rsid w:val="00A72DA1"/>
    <w:rsid w:val="00A72E1D"/>
    <w:rsid w:val="00A7314A"/>
    <w:rsid w:val="00A7424F"/>
    <w:rsid w:val="00A7618E"/>
    <w:rsid w:val="00A771CB"/>
    <w:rsid w:val="00A853E6"/>
    <w:rsid w:val="00A855B0"/>
    <w:rsid w:val="00A91D75"/>
    <w:rsid w:val="00A91E17"/>
    <w:rsid w:val="00A945E6"/>
    <w:rsid w:val="00A94746"/>
    <w:rsid w:val="00A9477A"/>
    <w:rsid w:val="00A953CC"/>
    <w:rsid w:val="00AA1C67"/>
    <w:rsid w:val="00AA2B53"/>
    <w:rsid w:val="00AA3D35"/>
    <w:rsid w:val="00AA4343"/>
    <w:rsid w:val="00AA61CE"/>
    <w:rsid w:val="00AA733D"/>
    <w:rsid w:val="00AA772F"/>
    <w:rsid w:val="00AB0A84"/>
    <w:rsid w:val="00AB1EC4"/>
    <w:rsid w:val="00AB2875"/>
    <w:rsid w:val="00AB33B0"/>
    <w:rsid w:val="00AB6A78"/>
    <w:rsid w:val="00AB6C0D"/>
    <w:rsid w:val="00AC3AC5"/>
    <w:rsid w:val="00AC4A77"/>
    <w:rsid w:val="00AC559E"/>
    <w:rsid w:val="00AC56C7"/>
    <w:rsid w:val="00AC645C"/>
    <w:rsid w:val="00AC71B1"/>
    <w:rsid w:val="00AC7803"/>
    <w:rsid w:val="00AC7B95"/>
    <w:rsid w:val="00AD21A8"/>
    <w:rsid w:val="00AD2AAD"/>
    <w:rsid w:val="00AD2C4A"/>
    <w:rsid w:val="00AD30C4"/>
    <w:rsid w:val="00AD615C"/>
    <w:rsid w:val="00AD7671"/>
    <w:rsid w:val="00AE014C"/>
    <w:rsid w:val="00AE0584"/>
    <w:rsid w:val="00AE0A76"/>
    <w:rsid w:val="00AE30BA"/>
    <w:rsid w:val="00AE3497"/>
    <w:rsid w:val="00AE595D"/>
    <w:rsid w:val="00AE6E87"/>
    <w:rsid w:val="00AE6F5A"/>
    <w:rsid w:val="00AE7D09"/>
    <w:rsid w:val="00AF09E2"/>
    <w:rsid w:val="00AF1CC1"/>
    <w:rsid w:val="00AF1F48"/>
    <w:rsid w:val="00AF2ED0"/>
    <w:rsid w:val="00AF3F78"/>
    <w:rsid w:val="00AF72E3"/>
    <w:rsid w:val="00AF73DA"/>
    <w:rsid w:val="00B004F5"/>
    <w:rsid w:val="00B01ACA"/>
    <w:rsid w:val="00B01F90"/>
    <w:rsid w:val="00B02511"/>
    <w:rsid w:val="00B10DD8"/>
    <w:rsid w:val="00B10DF1"/>
    <w:rsid w:val="00B1175C"/>
    <w:rsid w:val="00B13B8E"/>
    <w:rsid w:val="00B13BDA"/>
    <w:rsid w:val="00B13D38"/>
    <w:rsid w:val="00B14882"/>
    <w:rsid w:val="00B157CD"/>
    <w:rsid w:val="00B15F2A"/>
    <w:rsid w:val="00B163B8"/>
    <w:rsid w:val="00B20B7B"/>
    <w:rsid w:val="00B20DFA"/>
    <w:rsid w:val="00B219B8"/>
    <w:rsid w:val="00B21ED6"/>
    <w:rsid w:val="00B2261E"/>
    <w:rsid w:val="00B232B5"/>
    <w:rsid w:val="00B23E1E"/>
    <w:rsid w:val="00B24520"/>
    <w:rsid w:val="00B2566D"/>
    <w:rsid w:val="00B25B0B"/>
    <w:rsid w:val="00B30F7D"/>
    <w:rsid w:val="00B3164D"/>
    <w:rsid w:val="00B31B47"/>
    <w:rsid w:val="00B323D9"/>
    <w:rsid w:val="00B33324"/>
    <w:rsid w:val="00B33AD6"/>
    <w:rsid w:val="00B34180"/>
    <w:rsid w:val="00B34EBE"/>
    <w:rsid w:val="00B355CA"/>
    <w:rsid w:val="00B35DEE"/>
    <w:rsid w:val="00B37871"/>
    <w:rsid w:val="00B41075"/>
    <w:rsid w:val="00B42784"/>
    <w:rsid w:val="00B434A7"/>
    <w:rsid w:val="00B447BD"/>
    <w:rsid w:val="00B451E4"/>
    <w:rsid w:val="00B46800"/>
    <w:rsid w:val="00B46FD8"/>
    <w:rsid w:val="00B509AF"/>
    <w:rsid w:val="00B51A7F"/>
    <w:rsid w:val="00B53C60"/>
    <w:rsid w:val="00B54CF0"/>
    <w:rsid w:val="00B555C3"/>
    <w:rsid w:val="00B55944"/>
    <w:rsid w:val="00B60D13"/>
    <w:rsid w:val="00B60F7D"/>
    <w:rsid w:val="00B613F3"/>
    <w:rsid w:val="00B62AF8"/>
    <w:rsid w:val="00B64CBB"/>
    <w:rsid w:val="00B65A83"/>
    <w:rsid w:val="00B65CDB"/>
    <w:rsid w:val="00B7289B"/>
    <w:rsid w:val="00B72F24"/>
    <w:rsid w:val="00B730CA"/>
    <w:rsid w:val="00B73DBF"/>
    <w:rsid w:val="00B7421E"/>
    <w:rsid w:val="00B768F8"/>
    <w:rsid w:val="00B769BB"/>
    <w:rsid w:val="00B76A47"/>
    <w:rsid w:val="00B76F0F"/>
    <w:rsid w:val="00B77312"/>
    <w:rsid w:val="00B806FC"/>
    <w:rsid w:val="00B80784"/>
    <w:rsid w:val="00B818B6"/>
    <w:rsid w:val="00B8226F"/>
    <w:rsid w:val="00B82508"/>
    <w:rsid w:val="00B827C3"/>
    <w:rsid w:val="00B8393F"/>
    <w:rsid w:val="00B85EEB"/>
    <w:rsid w:val="00B86D76"/>
    <w:rsid w:val="00B876C3"/>
    <w:rsid w:val="00B90FEF"/>
    <w:rsid w:val="00B9199E"/>
    <w:rsid w:val="00B965D8"/>
    <w:rsid w:val="00B967DA"/>
    <w:rsid w:val="00B97429"/>
    <w:rsid w:val="00BA03A2"/>
    <w:rsid w:val="00BA0E27"/>
    <w:rsid w:val="00BA0FA9"/>
    <w:rsid w:val="00BA14AF"/>
    <w:rsid w:val="00BA189E"/>
    <w:rsid w:val="00BA4524"/>
    <w:rsid w:val="00BB0A63"/>
    <w:rsid w:val="00BB0C94"/>
    <w:rsid w:val="00BB3280"/>
    <w:rsid w:val="00BB3C4E"/>
    <w:rsid w:val="00BB5633"/>
    <w:rsid w:val="00BB574C"/>
    <w:rsid w:val="00BB6870"/>
    <w:rsid w:val="00BB701A"/>
    <w:rsid w:val="00BB7184"/>
    <w:rsid w:val="00BB7396"/>
    <w:rsid w:val="00BB787A"/>
    <w:rsid w:val="00BC09FA"/>
    <w:rsid w:val="00BC2DFF"/>
    <w:rsid w:val="00BC4D20"/>
    <w:rsid w:val="00BC4D55"/>
    <w:rsid w:val="00BC59F0"/>
    <w:rsid w:val="00BC5D8B"/>
    <w:rsid w:val="00BC700D"/>
    <w:rsid w:val="00BC7510"/>
    <w:rsid w:val="00BC7943"/>
    <w:rsid w:val="00BC7968"/>
    <w:rsid w:val="00BD0FA3"/>
    <w:rsid w:val="00BD3D86"/>
    <w:rsid w:val="00BD59C3"/>
    <w:rsid w:val="00BD5CF2"/>
    <w:rsid w:val="00BD7A6D"/>
    <w:rsid w:val="00BE156C"/>
    <w:rsid w:val="00BE1F4A"/>
    <w:rsid w:val="00BE2BB5"/>
    <w:rsid w:val="00BE490B"/>
    <w:rsid w:val="00BF01B6"/>
    <w:rsid w:val="00BF02BD"/>
    <w:rsid w:val="00BF0F79"/>
    <w:rsid w:val="00BF13EA"/>
    <w:rsid w:val="00BF30AA"/>
    <w:rsid w:val="00BF3548"/>
    <w:rsid w:val="00BF39F7"/>
    <w:rsid w:val="00BF3D3B"/>
    <w:rsid w:val="00BF58CF"/>
    <w:rsid w:val="00BF6868"/>
    <w:rsid w:val="00BF6CB9"/>
    <w:rsid w:val="00BF7390"/>
    <w:rsid w:val="00C02212"/>
    <w:rsid w:val="00C02B5D"/>
    <w:rsid w:val="00C02BC0"/>
    <w:rsid w:val="00C03931"/>
    <w:rsid w:val="00C041FF"/>
    <w:rsid w:val="00C10C5B"/>
    <w:rsid w:val="00C10E4B"/>
    <w:rsid w:val="00C1198F"/>
    <w:rsid w:val="00C122A5"/>
    <w:rsid w:val="00C125EF"/>
    <w:rsid w:val="00C12E23"/>
    <w:rsid w:val="00C134E8"/>
    <w:rsid w:val="00C17567"/>
    <w:rsid w:val="00C17B52"/>
    <w:rsid w:val="00C2051A"/>
    <w:rsid w:val="00C20910"/>
    <w:rsid w:val="00C20BB3"/>
    <w:rsid w:val="00C20DA1"/>
    <w:rsid w:val="00C226CF"/>
    <w:rsid w:val="00C23432"/>
    <w:rsid w:val="00C23617"/>
    <w:rsid w:val="00C23F58"/>
    <w:rsid w:val="00C23F84"/>
    <w:rsid w:val="00C24846"/>
    <w:rsid w:val="00C25765"/>
    <w:rsid w:val="00C259A4"/>
    <w:rsid w:val="00C26053"/>
    <w:rsid w:val="00C276C2"/>
    <w:rsid w:val="00C323E1"/>
    <w:rsid w:val="00C37365"/>
    <w:rsid w:val="00C40776"/>
    <w:rsid w:val="00C42B21"/>
    <w:rsid w:val="00C4343D"/>
    <w:rsid w:val="00C46372"/>
    <w:rsid w:val="00C47345"/>
    <w:rsid w:val="00C50632"/>
    <w:rsid w:val="00C506B3"/>
    <w:rsid w:val="00C50D97"/>
    <w:rsid w:val="00C51382"/>
    <w:rsid w:val="00C535F1"/>
    <w:rsid w:val="00C53B31"/>
    <w:rsid w:val="00C54C02"/>
    <w:rsid w:val="00C55DEB"/>
    <w:rsid w:val="00C57071"/>
    <w:rsid w:val="00C66100"/>
    <w:rsid w:val="00C665A3"/>
    <w:rsid w:val="00C70221"/>
    <w:rsid w:val="00C70B20"/>
    <w:rsid w:val="00C71150"/>
    <w:rsid w:val="00C715A2"/>
    <w:rsid w:val="00C7187B"/>
    <w:rsid w:val="00C72EB7"/>
    <w:rsid w:val="00C73406"/>
    <w:rsid w:val="00C73A59"/>
    <w:rsid w:val="00C7491B"/>
    <w:rsid w:val="00C762C0"/>
    <w:rsid w:val="00C81F02"/>
    <w:rsid w:val="00C82DBD"/>
    <w:rsid w:val="00C84BD7"/>
    <w:rsid w:val="00C84F36"/>
    <w:rsid w:val="00C85BD6"/>
    <w:rsid w:val="00C85D1F"/>
    <w:rsid w:val="00C877F2"/>
    <w:rsid w:val="00C905B3"/>
    <w:rsid w:val="00C90E62"/>
    <w:rsid w:val="00C9111F"/>
    <w:rsid w:val="00C9264C"/>
    <w:rsid w:val="00C92E93"/>
    <w:rsid w:val="00CA037A"/>
    <w:rsid w:val="00CA10F7"/>
    <w:rsid w:val="00CA328B"/>
    <w:rsid w:val="00CA3678"/>
    <w:rsid w:val="00CB0CF8"/>
    <w:rsid w:val="00CB0D00"/>
    <w:rsid w:val="00CB13CD"/>
    <w:rsid w:val="00CB143B"/>
    <w:rsid w:val="00CB4519"/>
    <w:rsid w:val="00CB4974"/>
    <w:rsid w:val="00CB6DAC"/>
    <w:rsid w:val="00CB7D69"/>
    <w:rsid w:val="00CC098C"/>
    <w:rsid w:val="00CC2888"/>
    <w:rsid w:val="00CC3931"/>
    <w:rsid w:val="00CC3B63"/>
    <w:rsid w:val="00CC4C69"/>
    <w:rsid w:val="00CC6189"/>
    <w:rsid w:val="00CD0D65"/>
    <w:rsid w:val="00CD154E"/>
    <w:rsid w:val="00CD5639"/>
    <w:rsid w:val="00CD5A1C"/>
    <w:rsid w:val="00CD5D0F"/>
    <w:rsid w:val="00CD631A"/>
    <w:rsid w:val="00CD7A18"/>
    <w:rsid w:val="00CD7EFD"/>
    <w:rsid w:val="00CE0AFE"/>
    <w:rsid w:val="00CE0E92"/>
    <w:rsid w:val="00CE38F7"/>
    <w:rsid w:val="00CE3E02"/>
    <w:rsid w:val="00CE4BB8"/>
    <w:rsid w:val="00CE5346"/>
    <w:rsid w:val="00CE6B5C"/>
    <w:rsid w:val="00CE6C94"/>
    <w:rsid w:val="00CE72CB"/>
    <w:rsid w:val="00CE7307"/>
    <w:rsid w:val="00CF06D5"/>
    <w:rsid w:val="00CF1E34"/>
    <w:rsid w:val="00CF3600"/>
    <w:rsid w:val="00CF3E85"/>
    <w:rsid w:val="00CF4120"/>
    <w:rsid w:val="00CF5565"/>
    <w:rsid w:val="00CF6919"/>
    <w:rsid w:val="00D0062E"/>
    <w:rsid w:val="00D00A65"/>
    <w:rsid w:val="00D00F00"/>
    <w:rsid w:val="00D01EC5"/>
    <w:rsid w:val="00D025FB"/>
    <w:rsid w:val="00D05441"/>
    <w:rsid w:val="00D0655C"/>
    <w:rsid w:val="00D1075D"/>
    <w:rsid w:val="00D10C41"/>
    <w:rsid w:val="00D11704"/>
    <w:rsid w:val="00D13141"/>
    <w:rsid w:val="00D14079"/>
    <w:rsid w:val="00D14DD0"/>
    <w:rsid w:val="00D150F8"/>
    <w:rsid w:val="00D213AA"/>
    <w:rsid w:val="00D21B59"/>
    <w:rsid w:val="00D23297"/>
    <w:rsid w:val="00D23BD4"/>
    <w:rsid w:val="00D2459D"/>
    <w:rsid w:val="00D26594"/>
    <w:rsid w:val="00D27396"/>
    <w:rsid w:val="00D336A0"/>
    <w:rsid w:val="00D37E75"/>
    <w:rsid w:val="00D400F3"/>
    <w:rsid w:val="00D40B48"/>
    <w:rsid w:val="00D420CC"/>
    <w:rsid w:val="00D44886"/>
    <w:rsid w:val="00D453E4"/>
    <w:rsid w:val="00D45FBF"/>
    <w:rsid w:val="00D46A15"/>
    <w:rsid w:val="00D47012"/>
    <w:rsid w:val="00D52374"/>
    <w:rsid w:val="00D52AE4"/>
    <w:rsid w:val="00D53D8A"/>
    <w:rsid w:val="00D56CF1"/>
    <w:rsid w:val="00D575A7"/>
    <w:rsid w:val="00D60987"/>
    <w:rsid w:val="00D60988"/>
    <w:rsid w:val="00D61414"/>
    <w:rsid w:val="00D63318"/>
    <w:rsid w:val="00D635A0"/>
    <w:rsid w:val="00D65FA0"/>
    <w:rsid w:val="00D70DAC"/>
    <w:rsid w:val="00D71567"/>
    <w:rsid w:val="00D71795"/>
    <w:rsid w:val="00D7293D"/>
    <w:rsid w:val="00D72B46"/>
    <w:rsid w:val="00D7319E"/>
    <w:rsid w:val="00D752A3"/>
    <w:rsid w:val="00D758E3"/>
    <w:rsid w:val="00D76021"/>
    <w:rsid w:val="00D76198"/>
    <w:rsid w:val="00D76CAD"/>
    <w:rsid w:val="00D76D78"/>
    <w:rsid w:val="00D80CB5"/>
    <w:rsid w:val="00D828E0"/>
    <w:rsid w:val="00D84251"/>
    <w:rsid w:val="00D8495A"/>
    <w:rsid w:val="00D84AF7"/>
    <w:rsid w:val="00D8604C"/>
    <w:rsid w:val="00D86A49"/>
    <w:rsid w:val="00D90259"/>
    <w:rsid w:val="00D914B5"/>
    <w:rsid w:val="00D91CF5"/>
    <w:rsid w:val="00D93ECC"/>
    <w:rsid w:val="00D94C73"/>
    <w:rsid w:val="00D9593D"/>
    <w:rsid w:val="00D95C7B"/>
    <w:rsid w:val="00D96D25"/>
    <w:rsid w:val="00D97503"/>
    <w:rsid w:val="00DA0765"/>
    <w:rsid w:val="00DA1824"/>
    <w:rsid w:val="00DA2535"/>
    <w:rsid w:val="00DA2BDE"/>
    <w:rsid w:val="00DA3802"/>
    <w:rsid w:val="00DA4539"/>
    <w:rsid w:val="00DA45E8"/>
    <w:rsid w:val="00DA4999"/>
    <w:rsid w:val="00DA5026"/>
    <w:rsid w:val="00DA5DD4"/>
    <w:rsid w:val="00DA6444"/>
    <w:rsid w:val="00DB1265"/>
    <w:rsid w:val="00DB276D"/>
    <w:rsid w:val="00DB3767"/>
    <w:rsid w:val="00DB3C81"/>
    <w:rsid w:val="00DB44D6"/>
    <w:rsid w:val="00DB4648"/>
    <w:rsid w:val="00DC035D"/>
    <w:rsid w:val="00DC05F5"/>
    <w:rsid w:val="00DC07D8"/>
    <w:rsid w:val="00DC09DF"/>
    <w:rsid w:val="00DC1CCC"/>
    <w:rsid w:val="00DC6264"/>
    <w:rsid w:val="00DC6C69"/>
    <w:rsid w:val="00DC7571"/>
    <w:rsid w:val="00DC7809"/>
    <w:rsid w:val="00DC7BB5"/>
    <w:rsid w:val="00DD00E9"/>
    <w:rsid w:val="00DD0289"/>
    <w:rsid w:val="00DD11AF"/>
    <w:rsid w:val="00DD2525"/>
    <w:rsid w:val="00DD307D"/>
    <w:rsid w:val="00DD3290"/>
    <w:rsid w:val="00DD3300"/>
    <w:rsid w:val="00DD4998"/>
    <w:rsid w:val="00DD4A20"/>
    <w:rsid w:val="00DD4D30"/>
    <w:rsid w:val="00DD4DD8"/>
    <w:rsid w:val="00DD59DB"/>
    <w:rsid w:val="00DD78AD"/>
    <w:rsid w:val="00DD7CED"/>
    <w:rsid w:val="00DD7EC9"/>
    <w:rsid w:val="00DE089A"/>
    <w:rsid w:val="00DE1468"/>
    <w:rsid w:val="00DE272D"/>
    <w:rsid w:val="00DE369B"/>
    <w:rsid w:val="00DF2312"/>
    <w:rsid w:val="00DF3EF8"/>
    <w:rsid w:val="00DF5288"/>
    <w:rsid w:val="00DF5C80"/>
    <w:rsid w:val="00DF6595"/>
    <w:rsid w:val="00DF6C92"/>
    <w:rsid w:val="00DF7735"/>
    <w:rsid w:val="00E0109C"/>
    <w:rsid w:val="00E01938"/>
    <w:rsid w:val="00E0237F"/>
    <w:rsid w:val="00E0440D"/>
    <w:rsid w:val="00E06605"/>
    <w:rsid w:val="00E078BE"/>
    <w:rsid w:val="00E13BEA"/>
    <w:rsid w:val="00E14A82"/>
    <w:rsid w:val="00E14FF7"/>
    <w:rsid w:val="00E16128"/>
    <w:rsid w:val="00E17DB5"/>
    <w:rsid w:val="00E202B4"/>
    <w:rsid w:val="00E2073C"/>
    <w:rsid w:val="00E20BBE"/>
    <w:rsid w:val="00E22A16"/>
    <w:rsid w:val="00E237F4"/>
    <w:rsid w:val="00E23C28"/>
    <w:rsid w:val="00E24887"/>
    <w:rsid w:val="00E249B7"/>
    <w:rsid w:val="00E24FB4"/>
    <w:rsid w:val="00E259C5"/>
    <w:rsid w:val="00E27870"/>
    <w:rsid w:val="00E318F4"/>
    <w:rsid w:val="00E3304B"/>
    <w:rsid w:val="00E37D39"/>
    <w:rsid w:val="00E404BE"/>
    <w:rsid w:val="00E40652"/>
    <w:rsid w:val="00E40EE4"/>
    <w:rsid w:val="00E41693"/>
    <w:rsid w:val="00E427A4"/>
    <w:rsid w:val="00E43094"/>
    <w:rsid w:val="00E434C8"/>
    <w:rsid w:val="00E437C8"/>
    <w:rsid w:val="00E4384C"/>
    <w:rsid w:val="00E45461"/>
    <w:rsid w:val="00E467C3"/>
    <w:rsid w:val="00E47FFD"/>
    <w:rsid w:val="00E51FB3"/>
    <w:rsid w:val="00E520CB"/>
    <w:rsid w:val="00E52243"/>
    <w:rsid w:val="00E52C3F"/>
    <w:rsid w:val="00E530EE"/>
    <w:rsid w:val="00E532BA"/>
    <w:rsid w:val="00E537D7"/>
    <w:rsid w:val="00E54A3D"/>
    <w:rsid w:val="00E54C75"/>
    <w:rsid w:val="00E557BE"/>
    <w:rsid w:val="00E55CED"/>
    <w:rsid w:val="00E57BFA"/>
    <w:rsid w:val="00E6155C"/>
    <w:rsid w:val="00E62356"/>
    <w:rsid w:val="00E66C33"/>
    <w:rsid w:val="00E71B7A"/>
    <w:rsid w:val="00E737C5"/>
    <w:rsid w:val="00E740E3"/>
    <w:rsid w:val="00E74229"/>
    <w:rsid w:val="00E751B4"/>
    <w:rsid w:val="00E76267"/>
    <w:rsid w:val="00E76DC9"/>
    <w:rsid w:val="00E77126"/>
    <w:rsid w:val="00E80072"/>
    <w:rsid w:val="00E8068A"/>
    <w:rsid w:val="00E807F3"/>
    <w:rsid w:val="00E80EE0"/>
    <w:rsid w:val="00E81001"/>
    <w:rsid w:val="00E81612"/>
    <w:rsid w:val="00E81E71"/>
    <w:rsid w:val="00E821D0"/>
    <w:rsid w:val="00E8383A"/>
    <w:rsid w:val="00E83C11"/>
    <w:rsid w:val="00E83DC4"/>
    <w:rsid w:val="00E84141"/>
    <w:rsid w:val="00E85EC7"/>
    <w:rsid w:val="00E85ECD"/>
    <w:rsid w:val="00E86E69"/>
    <w:rsid w:val="00E86E8E"/>
    <w:rsid w:val="00E87EE8"/>
    <w:rsid w:val="00E9045D"/>
    <w:rsid w:val="00E91185"/>
    <w:rsid w:val="00E9149A"/>
    <w:rsid w:val="00E9479A"/>
    <w:rsid w:val="00E94E1B"/>
    <w:rsid w:val="00E966B5"/>
    <w:rsid w:val="00EA0665"/>
    <w:rsid w:val="00EA0D9E"/>
    <w:rsid w:val="00EA0ED3"/>
    <w:rsid w:val="00EA4C58"/>
    <w:rsid w:val="00EA657A"/>
    <w:rsid w:val="00EA6C0A"/>
    <w:rsid w:val="00EA7A1A"/>
    <w:rsid w:val="00EB1E22"/>
    <w:rsid w:val="00EB2713"/>
    <w:rsid w:val="00EB3937"/>
    <w:rsid w:val="00EB56E2"/>
    <w:rsid w:val="00EB5DCA"/>
    <w:rsid w:val="00EB688B"/>
    <w:rsid w:val="00EB69F8"/>
    <w:rsid w:val="00EB7E2B"/>
    <w:rsid w:val="00EC123C"/>
    <w:rsid w:val="00EC2411"/>
    <w:rsid w:val="00EC2F0F"/>
    <w:rsid w:val="00EC57F2"/>
    <w:rsid w:val="00EC5F4B"/>
    <w:rsid w:val="00EC6B33"/>
    <w:rsid w:val="00ED2248"/>
    <w:rsid w:val="00ED30E2"/>
    <w:rsid w:val="00ED35CB"/>
    <w:rsid w:val="00ED4E26"/>
    <w:rsid w:val="00ED516C"/>
    <w:rsid w:val="00ED54DF"/>
    <w:rsid w:val="00ED7D37"/>
    <w:rsid w:val="00EE04A4"/>
    <w:rsid w:val="00EE10F1"/>
    <w:rsid w:val="00EE2E87"/>
    <w:rsid w:val="00EE3026"/>
    <w:rsid w:val="00EE4538"/>
    <w:rsid w:val="00EE4CD1"/>
    <w:rsid w:val="00EE6A7A"/>
    <w:rsid w:val="00EE7A9E"/>
    <w:rsid w:val="00EE7E8E"/>
    <w:rsid w:val="00EE7F27"/>
    <w:rsid w:val="00EF2A14"/>
    <w:rsid w:val="00EF32F5"/>
    <w:rsid w:val="00EF4088"/>
    <w:rsid w:val="00EF4D75"/>
    <w:rsid w:val="00EF5506"/>
    <w:rsid w:val="00EF63FC"/>
    <w:rsid w:val="00EF79B6"/>
    <w:rsid w:val="00F01769"/>
    <w:rsid w:val="00F01B2D"/>
    <w:rsid w:val="00F02462"/>
    <w:rsid w:val="00F027B4"/>
    <w:rsid w:val="00F040B8"/>
    <w:rsid w:val="00F045F8"/>
    <w:rsid w:val="00F050DF"/>
    <w:rsid w:val="00F05BD4"/>
    <w:rsid w:val="00F07BE6"/>
    <w:rsid w:val="00F11075"/>
    <w:rsid w:val="00F1330E"/>
    <w:rsid w:val="00F137C5"/>
    <w:rsid w:val="00F141F3"/>
    <w:rsid w:val="00F151A7"/>
    <w:rsid w:val="00F1739D"/>
    <w:rsid w:val="00F179E7"/>
    <w:rsid w:val="00F20975"/>
    <w:rsid w:val="00F2115D"/>
    <w:rsid w:val="00F22DED"/>
    <w:rsid w:val="00F241E9"/>
    <w:rsid w:val="00F25619"/>
    <w:rsid w:val="00F25796"/>
    <w:rsid w:val="00F26351"/>
    <w:rsid w:val="00F30C54"/>
    <w:rsid w:val="00F31414"/>
    <w:rsid w:val="00F31563"/>
    <w:rsid w:val="00F31EB5"/>
    <w:rsid w:val="00F33312"/>
    <w:rsid w:val="00F33ADD"/>
    <w:rsid w:val="00F350DF"/>
    <w:rsid w:val="00F35191"/>
    <w:rsid w:val="00F400F0"/>
    <w:rsid w:val="00F42D81"/>
    <w:rsid w:val="00F438FD"/>
    <w:rsid w:val="00F43DFB"/>
    <w:rsid w:val="00F441AA"/>
    <w:rsid w:val="00F45AD9"/>
    <w:rsid w:val="00F469B8"/>
    <w:rsid w:val="00F47607"/>
    <w:rsid w:val="00F478F6"/>
    <w:rsid w:val="00F51622"/>
    <w:rsid w:val="00F525CA"/>
    <w:rsid w:val="00F52C2F"/>
    <w:rsid w:val="00F555FF"/>
    <w:rsid w:val="00F55CEC"/>
    <w:rsid w:val="00F55F5A"/>
    <w:rsid w:val="00F56F76"/>
    <w:rsid w:val="00F626C7"/>
    <w:rsid w:val="00F62A00"/>
    <w:rsid w:val="00F63C01"/>
    <w:rsid w:val="00F65D47"/>
    <w:rsid w:val="00F65DCF"/>
    <w:rsid w:val="00F65DE4"/>
    <w:rsid w:val="00F70183"/>
    <w:rsid w:val="00F70920"/>
    <w:rsid w:val="00F710B0"/>
    <w:rsid w:val="00F71C23"/>
    <w:rsid w:val="00F72791"/>
    <w:rsid w:val="00F7499D"/>
    <w:rsid w:val="00F75513"/>
    <w:rsid w:val="00F76784"/>
    <w:rsid w:val="00F77947"/>
    <w:rsid w:val="00F80888"/>
    <w:rsid w:val="00F8267F"/>
    <w:rsid w:val="00F840AE"/>
    <w:rsid w:val="00F903C7"/>
    <w:rsid w:val="00F91D6D"/>
    <w:rsid w:val="00F94218"/>
    <w:rsid w:val="00F94740"/>
    <w:rsid w:val="00F94912"/>
    <w:rsid w:val="00F9571F"/>
    <w:rsid w:val="00FA03E1"/>
    <w:rsid w:val="00FA05A2"/>
    <w:rsid w:val="00FA0EB2"/>
    <w:rsid w:val="00FA2A32"/>
    <w:rsid w:val="00FA2EA8"/>
    <w:rsid w:val="00FA35AC"/>
    <w:rsid w:val="00FA54BE"/>
    <w:rsid w:val="00FA59BB"/>
    <w:rsid w:val="00FA6A3E"/>
    <w:rsid w:val="00FA7720"/>
    <w:rsid w:val="00FB1E7F"/>
    <w:rsid w:val="00FB3773"/>
    <w:rsid w:val="00FB3BF3"/>
    <w:rsid w:val="00FB44EA"/>
    <w:rsid w:val="00FB533A"/>
    <w:rsid w:val="00FC14EE"/>
    <w:rsid w:val="00FC1877"/>
    <w:rsid w:val="00FC1A94"/>
    <w:rsid w:val="00FC3608"/>
    <w:rsid w:val="00FC3CFB"/>
    <w:rsid w:val="00FC58B7"/>
    <w:rsid w:val="00FC7E4B"/>
    <w:rsid w:val="00FD0EA2"/>
    <w:rsid w:val="00FD383A"/>
    <w:rsid w:val="00FD4227"/>
    <w:rsid w:val="00FD4ABD"/>
    <w:rsid w:val="00FD4D51"/>
    <w:rsid w:val="00FD5537"/>
    <w:rsid w:val="00FD61AA"/>
    <w:rsid w:val="00FD6932"/>
    <w:rsid w:val="00FD7D9E"/>
    <w:rsid w:val="00FE0328"/>
    <w:rsid w:val="00FE18D5"/>
    <w:rsid w:val="00FE1C7F"/>
    <w:rsid w:val="00FE39ED"/>
    <w:rsid w:val="00FE447D"/>
    <w:rsid w:val="00FE59F6"/>
    <w:rsid w:val="00FE6D8F"/>
    <w:rsid w:val="00FE7A6A"/>
    <w:rsid w:val="00FF172E"/>
    <w:rsid w:val="00FF2710"/>
    <w:rsid w:val="00FF290B"/>
    <w:rsid w:val="00FF359B"/>
    <w:rsid w:val="00FF42F7"/>
    <w:rsid w:val="00FF4CEC"/>
    <w:rsid w:val="00FF6528"/>
    <w:rsid w:val="00FF68F5"/>
    <w:rsid w:val="00FF69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21B22E"/>
  <w15:chartTrackingRefBased/>
  <w15:docId w15:val="{EBCBC6F3-4B09-447B-9ACF-2FD378E3D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64E8"/>
    <w:rPr>
      <w:rFonts w:ascii="Arial" w:hAnsi="Arial"/>
    </w:rPr>
  </w:style>
  <w:style w:type="paragraph" w:styleId="Heading1">
    <w:name w:val="heading 1"/>
    <w:basedOn w:val="Normal"/>
    <w:next w:val="Normal"/>
    <w:qFormat/>
    <w:rsid w:val="00BA0FA9"/>
    <w:pPr>
      <w:keepNext/>
      <w:spacing w:after="120"/>
      <w:ind w:left="1854" w:hanging="1134"/>
      <w:jc w:val="both"/>
      <w:outlineLvl w:val="0"/>
    </w:pPr>
    <w:rPr>
      <w:sz w:val="24"/>
    </w:rPr>
  </w:style>
  <w:style w:type="paragraph" w:styleId="Heading3">
    <w:name w:val="heading 3"/>
    <w:basedOn w:val="Normal"/>
    <w:next w:val="Normal"/>
    <w:qFormat/>
    <w:rsid w:val="00DD4DD8"/>
    <w:pPr>
      <w:keepNext/>
      <w:spacing w:before="240" w:after="60"/>
      <w:outlineLvl w:val="2"/>
    </w:pPr>
    <w:rPr>
      <w:rFonts w:cs="Arial"/>
      <w:b/>
      <w:bCs/>
      <w:sz w:val="26"/>
      <w:szCs w:val="26"/>
    </w:rPr>
  </w:style>
  <w:style w:type="paragraph" w:styleId="Heading4">
    <w:name w:val="heading 4"/>
    <w:basedOn w:val="Normal"/>
    <w:next w:val="Normal"/>
    <w:qFormat/>
    <w:rsid w:val="00DA2535"/>
    <w:pPr>
      <w:keepNext/>
      <w:spacing w:before="240" w:after="60"/>
      <w:outlineLvl w:val="3"/>
    </w:pPr>
    <w:rPr>
      <w:rFonts w:ascii="Times New Roman" w:hAnsi="Times New Roman"/>
      <w:b/>
      <w:bCs/>
      <w:sz w:val="28"/>
      <w:szCs w:val="28"/>
    </w:rPr>
  </w:style>
  <w:style w:type="paragraph" w:styleId="Heading6">
    <w:name w:val="heading 6"/>
    <w:basedOn w:val="Normal"/>
    <w:next w:val="Normal"/>
    <w:qFormat/>
    <w:rsid w:val="00DD4DD8"/>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A0FA9"/>
    <w:pPr>
      <w:framePr w:w="7920" w:h="1980" w:hRule="exact" w:hSpace="180" w:wrap="auto" w:hAnchor="page" w:xAlign="center" w:yAlign="bottom"/>
      <w:ind w:left="2880"/>
    </w:pPr>
  </w:style>
  <w:style w:type="paragraph" w:styleId="Header">
    <w:name w:val="header"/>
    <w:basedOn w:val="Normal"/>
    <w:link w:val="HeaderChar"/>
    <w:uiPriority w:val="99"/>
    <w:rsid w:val="00BA0FA9"/>
    <w:pPr>
      <w:tabs>
        <w:tab w:val="center" w:pos="4320"/>
        <w:tab w:val="right" w:pos="8640"/>
      </w:tabs>
    </w:pPr>
  </w:style>
  <w:style w:type="paragraph" w:styleId="Footer">
    <w:name w:val="footer"/>
    <w:basedOn w:val="Normal"/>
    <w:rsid w:val="00BA0FA9"/>
    <w:pPr>
      <w:tabs>
        <w:tab w:val="center" w:pos="4320"/>
        <w:tab w:val="right" w:pos="8640"/>
      </w:tabs>
    </w:pPr>
  </w:style>
  <w:style w:type="character" w:styleId="PageNumber">
    <w:name w:val="page number"/>
    <w:basedOn w:val="DefaultParagraphFont"/>
    <w:rsid w:val="00BA0FA9"/>
  </w:style>
  <w:style w:type="paragraph" w:styleId="ListBullet">
    <w:name w:val="List Bullet"/>
    <w:basedOn w:val="Normal"/>
    <w:autoRedefine/>
    <w:rsid w:val="00BA0FA9"/>
    <w:pPr>
      <w:numPr>
        <w:numId w:val="1"/>
      </w:numPr>
    </w:pPr>
  </w:style>
  <w:style w:type="paragraph" w:styleId="BodyText">
    <w:name w:val="Body Text"/>
    <w:basedOn w:val="Normal"/>
    <w:rsid w:val="00BA0FA9"/>
    <w:pPr>
      <w:jc w:val="both"/>
    </w:pPr>
    <w:rPr>
      <w:sz w:val="24"/>
    </w:rPr>
  </w:style>
  <w:style w:type="paragraph" w:styleId="BodyTextIndent">
    <w:name w:val="Body Text Indent"/>
    <w:basedOn w:val="Normal"/>
    <w:rsid w:val="00BA0FA9"/>
    <w:pPr>
      <w:ind w:left="570"/>
      <w:jc w:val="both"/>
    </w:pPr>
    <w:rPr>
      <w:sz w:val="24"/>
    </w:rPr>
  </w:style>
  <w:style w:type="paragraph" w:styleId="BodyTextIndent2">
    <w:name w:val="Body Text Indent 2"/>
    <w:basedOn w:val="Normal"/>
    <w:rsid w:val="00BA0FA9"/>
    <w:pPr>
      <w:ind w:left="720"/>
      <w:jc w:val="both"/>
    </w:pPr>
    <w:rPr>
      <w:sz w:val="24"/>
    </w:rPr>
  </w:style>
  <w:style w:type="paragraph" w:styleId="BodyTextIndent3">
    <w:name w:val="Body Text Indent 3"/>
    <w:basedOn w:val="Normal"/>
    <w:link w:val="BodyTextIndent3Char"/>
    <w:rsid w:val="00BA0FA9"/>
    <w:pPr>
      <w:tabs>
        <w:tab w:val="left" w:pos="540"/>
        <w:tab w:val="right" w:pos="9072"/>
      </w:tabs>
      <w:ind w:left="540" w:hanging="540"/>
      <w:jc w:val="both"/>
    </w:pPr>
    <w:rPr>
      <w:sz w:val="24"/>
    </w:rPr>
  </w:style>
  <w:style w:type="paragraph" w:styleId="BalloonText">
    <w:name w:val="Balloon Text"/>
    <w:basedOn w:val="Normal"/>
    <w:semiHidden/>
    <w:rsid w:val="00A17643"/>
    <w:rPr>
      <w:rFonts w:ascii="Tahoma" w:hAnsi="Tahoma" w:cs="Tahoma"/>
      <w:sz w:val="16"/>
      <w:szCs w:val="16"/>
    </w:rPr>
  </w:style>
  <w:style w:type="table" w:styleId="TableGrid">
    <w:name w:val="Table Grid"/>
    <w:basedOn w:val="TableNormal"/>
    <w:uiPriority w:val="59"/>
    <w:rsid w:val="00B86D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6">
    <w:name w:val="xl26"/>
    <w:basedOn w:val="Normal"/>
    <w:rsid w:val="00DD4DD8"/>
    <w:pPr>
      <w:spacing w:before="100" w:beforeAutospacing="1" w:after="100" w:afterAutospacing="1"/>
    </w:pPr>
    <w:rPr>
      <w:rFonts w:eastAsia="Arial Unicode MS" w:cs="Arial"/>
      <w:b/>
      <w:bCs/>
      <w:sz w:val="24"/>
      <w:szCs w:val="24"/>
      <w:lang w:eastAsia="en-US"/>
    </w:rPr>
  </w:style>
  <w:style w:type="paragraph" w:styleId="ListParagraph">
    <w:name w:val="List Paragraph"/>
    <w:aliases w:val="F5 List Paragraph"/>
    <w:basedOn w:val="Normal"/>
    <w:link w:val="ListParagraphChar"/>
    <w:uiPriority w:val="34"/>
    <w:qFormat/>
    <w:rsid w:val="00A9477A"/>
    <w:pPr>
      <w:ind w:left="720"/>
      <w:contextualSpacing/>
    </w:pPr>
  </w:style>
  <w:style w:type="character" w:styleId="Hyperlink">
    <w:name w:val="Hyperlink"/>
    <w:uiPriority w:val="99"/>
    <w:unhideWhenUsed/>
    <w:rsid w:val="00D71795"/>
    <w:rPr>
      <w:color w:val="0000FF"/>
      <w:u w:val="single"/>
    </w:rPr>
  </w:style>
  <w:style w:type="character" w:styleId="FollowedHyperlink">
    <w:name w:val="FollowedHyperlink"/>
    <w:rsid w:val="00981399"/>
    <w:rPr>
      <w:color w:val="800080"/>
      <w:u w:val="single"/>
    </w:rPr>
  </w:style>
  <w:style w:type="paragraph" w:customStyle="1" w:styleId="subhead">
    <w:name w:val="subhead"/>
    <w:basedOn w:val="Normal"/>
    <w:link w:val="subheadChar"/>
    <w:uiPriority w:val="99"/>
    <w:rsid w:val="00F26351"/>
    <w:pPr>
      <w:spacing w:before="270" w:after="180"/>
      <w:jc w:val="both"/>
    </w:pPr>
    <w:rPr>
      <w:rFonts w:cs="Arial"/>
      <w:b/>
      <w:noProof/>
      <w:sz w:val="22"/>
      <w:szCs w:val="22"/>
      <w:lang w:eastAsia="en-US"/>
    </w:rPr>
  </w:style>
  <w:style w:type="character" w:customStyle="1" w:styleId="subheadChar">
    <w:name w:val="subhead Char"/>
    <w:link w:val="subhead"/>
    <w:uiPriority w:val="99"/>
    <w:locked/>
    <w:rsid w:val="00F26351"/>
    <w:rPr>
      <w:rFonts w:ascii="Arial" w:hAnsi="Arial" w:cs="Arial"/>
      <w:b/>
      <w:noProof/>
      <w:sz w:val="22"/>
      <w:szCs w:val="22"/>
      <w:lang w:val="en-GB"/>
    </w:rPr>
  </w:style>
  <w:style w:type="paragraph" w:styleId="NoSpacing">
    <w:name w:val="No Spacing"/>
    <w:uiPriority w:val="1"/>
    <w:qFormat/>
    <w:rsid w:val="005665CB"/>
    <w:rPr>
      <w:rFonts w:ascii="Calibri" w:eastAsia="Calibri" w:hAnsi="Calibri"/>
      <w:sz w:val="22"/>
      <w:szCs w:val="22"/>
      <w:lang w:eastAsia="en-US"/>
    </w:rPr>
  </w:style>
  <w:style w:type="character" w:customStyle="1" w:styleId="HeaderChar">
    <w:name w:val="Header Char"/>
    <w:link w:val="Header"/>
    <w:uiPriority w:val="99"/>
    <w:rsid w:val="005665CB"/>
    <w:rPr>
      <w:rFonts w:ascii="Arial" w:hAnsi="Arial"/>
    </w:rPr>
  </w:style>
  <w:style w:type="character" w:customStyle="1" w:styleId="BodyTextIndent3Char">
    <w:name w:val="Body Text Indent 3 Char"/>
    <w:link w:val="BodyTextIndent3"/>
    <w:rsid w:val="007645CA"/>
    <w:rPr>
      <w:rFonts w:ascii="Arial" w:hAnsi="Arial"/>
      <w:sz w:val="24"/>
      <w:lang w:val="en-GB" w:eastAsia="en-GB"/>
    </w:rPr>
  </w:style>
  <w:style w:type="paragraph" w:customStyle="1" w:styleId="ChapterHeading">
    <w:name w:val="Chapter Heading"/>
    <w:basedOn w:val="Normal"/>
    <w:uiPriority w:val="99"/>
    <w:semiHidden/>
    <w:rsid w:val="00D95C7B"/>
    <w:pPr>
      <w:pageBreakBefore/>
      <w:numPr>
        <w:numId w:val="8"/>
      </w:numPr>
      <w:spacing w:before="120" w:after="120"/>
      <w:jc w:val="both"/>
    </w:pPr>
    <w:rPr>
      <w:rFonts w:ascii="Calibri" w:hAnsi="Calibri" w:cs="Arial"/>
      <w:b/>
      <w:noProof/>
      <w:spacing w:val="-5"/>
      <w:sz w:val="36"/>
      <w:szCs w:val="36"/>
      <w:lang w:eastAsia="en-US"/>
    </w:rPr>
  </w:style>
  <w:style w:type="paragraph" w:customStyle="1" w:styleId="Subheading">
    <w:name w:val="Subheading"/>
    <w:basedOn w:val="BodyText"/>
    <w:link w:val="SubheadingChar"/>
    <w:uiPriority w:val="99"/>
    <w:semiHidden/>
    <w:rsid w:val="00D95C7B"/>
    <w:pPr>
      <w:numPr>
        <w:ilvl w:val="1"/>
        <w:numId w:val="8"/>
      </w:numPr>
      <w:spacing w:before="270" w:after="180"/>
    </w:pPr>
    <w:rPr>
      <w:rFonts w:cs="Arial"/>
      <w:b/>
      <w:noProof/>
      <w:sz w:val="22"/>
      <w:szCs w:val="22"/>
      <w:lang w:eastAsia="en-US"/>
    </w:rPr>
  </w:style>
  <w:style w:type="character" w:customStyle="1" w:styleId="bodyChar">
    <w:name w:val="body Char"/>
    <w:link w:val="body"/>
    <w:uiPriority w:val="99"/>
    <w:locked/>
    <w:rsid w:val="00E751B4"/>
    <w:rPr>
      <w:rFonts w:ascii="Arial" w:hAnsi="Arial" w:cs="Arial"/>
      <w:noProof/>
      <w:spacing w:val="-5"/>
      <w:lang w:eastAsia="en-US"/>
    </w:rPr>
  </w:style>
  <w:style w:type="paragraph" w:customStyle="1" w:styleId="body">
    <w:name w:val="body"/>
    <w:basedOn w:val="Normal"/>
    <w:link w:val="bodyChar"/>
    <w:uiPriority w:val="99"/>
    <w:rsid w:val="00E751B4"/>
    <w:pPr>
      <w:jc w:val="both"/>
    </w:pPr>
    <w:rPr>
      <w:rFonts w:cs="Arial"/>
      <w:noProof/>
      <w:spacing w:val="-5"/>
      <w:lang w:eastAsia="en-US"/>
    </w:rPr>
  </w:style>
  <w:style w:type="paragraph" w:customStyle="1" w:styleId="Default">
    <w:name w:val="Default"/>
    <w:rsid w:val="009E4B9A"/>
    <w:pPr>
      <w:autoSpaceDE w:val="0"/>
      <w:autoSpaceDN w:val="0"/>
      <w:adjustRightInd w:val="0"/>
    </w:pPr>
    <w:rPr>
      <w:rFonts w:ascii="Arial" w:hAnsi="Arial" w:cs="Arial"/>
      <w:color w:val="000000"/>
      <w:sz w:val="24"/>
      <w:szCs w:val="24"/>
    </w:rPr>
  </w:style>
  <w:style w:type="table" w:customStyle="1" w:styleId="DefaultTable4">
    <w:name w:val="Default Table4"/>
    <w:basedOn w:val="TableNormal"/>
    <w:uiPriority w:val="99"/>
    <w:rsid w:val="00117274"/>
    <w:rPr>
      <w:rFonts w:ascii="Arial" w:eastAsia="Arial" w:hAnsi="Arial"/>
      <w:lang w:val="en-AU" w:eastAsia="en-US"/>
    </w:rPr>
    <w:tblPr>
      <w:tblInd w:w="0" w:type="nil"/>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13" w:type="dxa"/>
        <w:right w:w="113" w:type="dxa"/>
      </w:tblCellMar>
    </w:tblPr>
    <w:tblStylePr w:type="firstRow">
      <w:rPr>
        <w:b/>
        <w:color w:val="FFFFFF"/>
      </w:rPr>
      <w:tblPr/>
      <w:tcPr>
        <w:shd w:val="clear" w:color="auto" w:fill="252D59"/>
      </w:tcPr>
    </w:tblStylePr>
    <w:tblStylePr w:type="firstCol">
      <w:rPr>
        <w:color w:val="F2F2F2"/>
      </w:rPr>
      <w:tblPr/>
      <w:tcPr>
        <w:shd w:val="clear" w:color="auto" w:fill="C9CEE8"/>
      </w:tcPr>
    </w:tblStylePr>
  </w:style>
  <w:style w:type="character" w:customStyle="1" w:styleId="HeadingChar">
    <w:name w:val="Heading Char"/>
    <w:link w:val="Heading"/>
    <w:uiPriority w:val="99"/>
    <w:locked/>
    <w:rsid w:val="00117274"/>
    <w:rPr>
      <w:rFonts w:ascii="Calibri" w:hAnsi="Calibri" w:cs="Arial"/>
      <w:b/>
      <w:noProof/>
      <w:spacing w:val="-5"/>
      <w:sz w:val="36"/>
      <w:szCs w:val="36"/>
      <w:lang w:eastAsia="en-US"/>
    </w:rPr>
  </w:style>
  <w:style w:type="paragraph" w:customStyle="1" w:styleId="Heading">
    <w:name w:val="Heading"/>
    <w:basedOn w:val="ChapterHeading"/>
    <w:link w:val="HeadingChar"/>
    <w:uiPriority w:val="99"/>
    <w:rsid w:val="00117274"/>
    <w:pPr>
      <w:pageBreakBefore w:val="0"/>
      <w:numPr>
        <w:numId w:val="0"/>
      </w:numPr>
      <w:tabs>
        <w:tab w:val="num" w:pos="360"/>
      </w:tabs>
      <w:ind w:left="360" w:hanging="360"/>
    </w:pPr>
  </w:style>
  <w:style w:type="character" w:customStyle="1" w:styleId="SubheadingChar">
    <w:name w:val="Subheading Char"/>
    <w:link w:val="Subheading"/>
    <w:uiPriority w:val="99"/>
    <w:semiHidden/>
    <w:locked/>
    <w:rsid w:val="009472CA"/>
    <w:rPr>
      <w:rFonts w:ascii="Arial" w:hAnsi="Arial" w:cs="Arial"/>
      <w:b/>
      <w:noProof/>
      <w:sz w:val="22"/>
      <w:szCs w:val="22"/>
      <w:lang w:eastAsia="en-US"/>
    </w:rPr>
  </w:style>
  <w:style w:type="table" w:customStyle="1" w:styleId="DefaultTable">
    <w:name w:val="Default Table"/>
    <w:basedOn w:val="TableNormal"/>
    <w:uiPriority w:val="99"/>
    <w:rsid w:val="002C3074"/>
    <w:rPr>
      <w:rFonts w:ascii="Arial" w:eastAsia="Arial" w:hAnsi="Arial"/>
      <w:lang w:val="en-AU" w:eastAsia="en-US"/>
    </w:rPr>
    <w:tblPr>
      <w:tblInd w:w="0" w:type="nil"/>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13" w:type="dxa"/>
        <w:right w:w="113" w:type="dxa"/>
      </w:tblCellMar>
    </w:tblPr>
    <w:tblStylePr w:type="firstRow">
      <w:rPr>
        <w:b/>
        <w:color w:val="FFFFFF"/>
      </w:rPr>
      <w:tblPr/>
      <w:tcPr>
        <w:shd w:val="clear" w:color="auto" w:fill="252D59"/>
      </w:tcPr>
    </w:tblStylePr>
    <w:tblStylePr w:type="firstCol">
      <w:rPr>
        <w:color w:val="F2F2F2"/>
      </w:rPr>
      <w:tblPr/>
      <w:tcPr>
        <w:shd w:val="clear" w:color="auto" w:fill="C9CEE8"/>
      </w:tcPr>
    </w:tblStylePr>
  </w:style>
  <w:style w:type="character" w:customStyle="1" w:styleId="ListParagraphChar">
    <w:name w:val="List Paragraph Char"/>
    <w:aliases w:val="F5 List Paragraph Char"/>
    <w:link w:val="ListParagraph"/>
    <w:uiPriority w:val="34"/>
    <w:locked/>
    <w:rsid w:val="00D635A0"/>
    <w:rPr>
      <w:rFonts w:ascii="Arial" w:hAnsi="Arial"/>
    </w:rPr>
  </w:style>
  <w:style w:type="numbering" w:customStyle="1" w:styleId="CurrentList1">
    <w:name w:val="Current List1"/>
    <w:uiPriority w:val="99"/>
    <w:rsid w:val="001F1C71"/>
    <w:pPr>
      <w:numPr>
        <w:numId w:val="36"/>
      </w:numPr>
    </w:pPr>
  </w:style>
  <w:style w:type="character" w:styleId="CommentReference">
    <w:name w:val="annotation reference"/>
    <w:basedOn w:val="DefaultParagraphFont"/>
    <w:rsid w:val="00793EAB"/>
    <w:rPr>
      <w:sz w:val="16"/>
      <w:szCs w:val="16"/>
    </w:rPr>
  </w:style>
  <w:style w:type="paragraph" w:styleId="CommentText">
    <w:name w:val="annotation text"/>
    <w:basedOn w:val="Normal"/>
    <w:link w:val="CommentTextChar"/>
    <w:rsid w:val="00793EAB"/>
  </w:style>
  <w:style w:type="character" w:customStyle="1" w:styleId="CommentTextChar">
    <w:name w:val="Comment Text Char"/>
    <w:basedOn w:val="DefaultParagraphFont"/>
    <w:link w:val="CommentText"/>
    <w:rsid w:val="00793EAB"/>
    <w:rPr>
      <w:rFonts w:ascii="Arial" w:hAnsi="Arial"/>
    </w:rPr>
  </w:style>
  <w:style w:type="paragraph" w:styleId="CommentSubject">
    <w:name w:val="annotation subject"/>
    <w:basedOn w:val="CommentText"/>
    <w:next w:val="CommentText"/>
    <w:link w:val="CommentSubjectChar"/>
    <w:semiHidden/>
    <w:unhideWhenUsed/>
    <w:rsid w:val="00793EAB"/>
    <w:rPr>
      <w:b/>
      <w:bCs/>
    </w:rPr>
  </w:style>
  <w:style w:type="character" w:customStyle="1" w:styleId="CommentSubjectChar">
    <w:name w:val="Comment Subject Char"/>
    <w:basedOn w:val="CommentTextChar"/>
    <w:link w:val="CommentSubject"/>
    <w:semiHidden/>
    <w:rsid w:val="00793EAB"/>
    <w:rPr>
      <w:rFonts w:ascii="Arial" w:hAnsi="Arial"/>
      <w:b/>
      <w:bCs/>
    </w:rPr>
  </w:style>
  <w:style w:type="character" w:styleId="UnresolvedMention">
    <w:name w:val="Unresolved Mention"/>
    <w:basedOn w:val="DefaultParagraphFont"/>
    <w:uiPriority w:val="99"/>
    <w:semiHidden/>
    <w:unhideWhenUsed/>
    <w:rsid w:val="001450CF"/>
    <w:rPr>
      <w:color w:val="605E5C"/>
      <w:shd w:val="clear" w:color="auto" w:fill="E1DFDD"/>
    </w:rPr>
  </w:style>
  <w:style w:type="table" w:customStyle="1" w:styleId="DefaultTable1">
    <w:name w:val="Default Table1"/>
    <w:basedOn w:val="TableNormal"/>
    <w:uiPriority w:val="99"/>
    <w:rsid w:val="00E24887"/>
    <w:rPr>
      <w:rFonts w:ascii="Arial" w:eastAsia="Arial" w:hAnsi="Arial"/>
      <w:lang w:val="en-AU" w:eastAsia="en-US"/>
    </w:rPr>
    <w:tblPr>
      <w:tblInd w:w="0" w:type="nil"/>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13" w:type="dxa"/>
        <w:right w:w="113" w:type="dxa"/>
      </w:tblCellMar>
    </w:tblPr>
    <w:tblStylePr w:type="firstRow">
      <w:rPr>
        <w:b/>
        <w:color w:val="FFFFFF"/>
      </w:rPr>
      <w:tblPr/>
      <w:tcPr>
        <w:shd w:val="clear" w:color="auto" w:fill="252D59"/>
      </w:tcPr>
    </w:tblStylePr>
    <w:tblStylePr w:type="firstCol">
      <w:rPr>
        <w:color w:val="F2F2F2"/>
      </w:rPr>
      <w:tblPr/>
      <w:tcPr>
        <w:shd w:val="clear" w:color="auto" w:fill="C9CEE8"/>
      </w:tcPr>
    </w:tblStylePr>
  </w:style>
  <w:style w:type="table" w:customStyle="1" w:styleId="DefaultTable2">
    <w:name w:val="Default Table2"/>
    <w:basedOn w:val="TableNormal"/>
    <w:uiPriority w:val="99"/>
    <w:rsid w:val="00E24887"/>
    <w:rPr>
      <w:rFonts w:ascii="Arial" w:eastAsia="Arial" w:hAnsi="Arial"/>
      <w:lang w:val="en-AU" w:eastAsia="en-US"/>
    </w:rPr>
    <w:tblPr>
      <w:tblInd w:w="0" w:type="nil"/>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13" w:type="dxa"/>
        <w:right w:w="113" w:type="dxa"/>
      </w:tblCellMar>
    </w:tblPr>
    <w:tblStylePr w:type="firstRow">
      <w:rPr>
        <w:b/>
        <w:color w:val="FFFFFF"/>
      </w:rPr>
      <w:tblPr/>
      <w:tcPr>
        <w:shd w:val="clear" w:color="auto" w:fill="252D59"/>
      </w:tcPr>
    </w:tblStylePr>
    <w:tblStylePr w:type="firstCol">
      <w:rPr>
        <w:color w:val="F2F2F2"/>
      </w:rPr>
      <w:tblPr/>
      <w:tcPr>
        <w:shd w:val="clear" w:color="auto" w:fill="C9CEE8"/>
      </w:tcPr>
    </w:tblStylePr>
  </w:style>
  <w:style w:type="table" w:customStyle="1" w:styleId="DefaultTable3">
    <w:name w:val="Default Table3"/>
    <w:basedOn w:val="TableNormal"/>
    <w:uiPriority w:val="99"/>
    <w:rsid w:val="0069240C"/>
    <w:rPr>
      <w:rFonts w:ascii="Arial" w:eastAsia="Arial" w:hAnsi="Arial"/>
      <w:lang w:val="en-AU" w:eastAsia="en-US"/>
    </w:rPr>
    <w:tblPr>
      <w:tblInd w:w="0" w:type="nil"/>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13" w:type="dxa"/>
        <w:right w:w="113" w:type="dxa"/>
      </w:tblCellMar>
    </w:tblPr>
    <w:tblStylePr w:type="firstRow">
      <w:rPr>
        <w:b/>
        <w:color w:val="FFFFFF"/>
      </w:rPr>
      <w:tblPr/>
      <w:tcPr>
        <w:shd w:val="clear" w:color="auto" w:fill="252D59"/>
      </w:tcPr>
    </w:tblStylePr>
    <w:tblStylePr w:type="firstCol">
      <w:rPr>
        <w:color w:val="F2F2F2"/>
      </w:rPr>
      <w:tblPr/>
      <w:tcPr>
        <w:shd w:val="clear" w:color="auto" w:fill="C9CEE8"/>
      </w:tcPr>
    </w:tblStylePr>
  </w:style>
  <w:style w:type="table" w:customStyle="1" w:styleId="TableGrid1">
    <w:name w:val="Table Grid1"/>
    <w:rsid w:val="00163139"/>
    <w:rPr>
      <w:rFonts w:ascii="Calibri" w:hAnsi="Calibri"/>
      <w:kern w:val="2"/>
      <w:sz w:val="22"/>
      <w:szCs w:val="22"/>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72">
      <w:bodyDiv w:val="1"/>
      <w:marLeft w:val="0"/>
      <w:marRight w:val="0"/>
      <w:marTop w:val="0"/>
      <w:marBottom w:val="0"/>
      <w:divBdr>
        <w:top w:val="none" w:sz="0" w:space="0" w:color="auto"/>
        <w:left w:val="none" w:sz="0" w:space="0" w:color="auto"/>
        <w:bottom w:val="none" w:sz="0" w:space="0" w:color="auto"/>
        <w:right w:val="none" w:sz="0" w:space="0" w:color="auto"/>
      </w:divBdr>
    </w:div>
    <w:div w:id="3478502">
      <w:bodyDiv w:val="1"/>
      <w:marLeft w:val="0"/>
      <w:marRight w:val="0"/>
      <w:marTop w:val="0"/>
      <w:marBottom w:val="0"/>
      <w:divBdr>
        <w:top w:val="none" w:sz="0" w:space="0" w:color="auto"/>
        <w:left w:val="none" w:sz="0" w:space="0" w:color="auto"/>
        <w:bottom w:val="none" w:sz="0" w:space="0" w:color="auto"/>
        <w:right w:val="none" w:sz="0" w:space="0" w:color="auto"/>
      </w:divBdr>
    </w:div>
    <w:div w:id="30570964">
      <w:bodyDiv w:val="1"/>
      <w:marLeft w:val="0"/>
      <w:marRight w:val="0"/>
      <w:marTop w:val="0"/>
      <w:marBottom w:val="0"/>
      <w:divBdr>
        <w:top w:val="none" w:sz="0" w:space="0" w:color="auto"/>
        <w:left w:val="none" w:sz="0" w:space="0" w:color="auto"/>
        <w:bottom w:val="none" w:sz="0" w:space="0" w:color="auto"/>
        <w:right w:val="none" w:sz="0" w:space="0" w:color="auto"/>
      </w:divBdr>
    </w:div>
    <w:div w:id="44524665">
      <w:bodyDiv w:val="1"/>
      <w:marLeft w:val="0"/>
      <w:marRight w:val="0"/>
      <w:marTop w:val="0"/>
      <w:marBottom w:val="0"/>
      <w:divBdr>
        <w:top w:val="none" w:sz="0" w:space="0" w:color="auto"/>
        <w:left w:val="none" w:sz="0" w:space="0" w:color="auto"/>
        <w:bottom w:val="none" w:sz="0" w:space="0" w:color="auto"/>
        <w:right w:val="none" w:sz="0" w:space="0" w:color="auto"/>
      </w:divBdr>
    </w:div>
    <w:div w:id="57679911">
      <w:bodyDiv w:val="1"/>
      <w:marLeft w:val="0"/>
      <w:marRight w:val="0"/>
      <w:marTop w:val="0"/>
      <w:marBottom w:val="0"/>
      <w:divBdr>
        <w:top w:val="none" w:sz="0" w:space="0" w:color="auto"/>
        <w:left w:val="none" w:sz="0" w:space="0" w:color="auto"/>
        <w:bottom w:val="none" w:sz="0" w:space="0" w:color="auto"/>
        <w:right w:val="none" w:sz="0" w:space="0" w:color="auto"/>
      </w:divBdr>
    </w:div>
    <w:div w:id="57827157">
      <w:bodyDiv w:val="1"/>
      <w:marLeft w:val="0"/>
      <w:marRight w:val="0"/>
      <w:marTop w:val="0"/>
      <w:marBottom w:val="0"/>
      <w:divBdr>
        <w:top w:val="none" w:sz="0" w:space="0" w:color="auto"/>
        <w:left w:val="none" w:sz="0" w:space="0" w:color="auto"/>
        <w:bottom w:val="none" w:sz="0" w:space="0" w:color="auto"/>
        <w:right w:val="none" w:sz="0" w:space="0" w:color="auto"/>
      </w:divBdr>
    </w:div>
    <w:div w:id="72824185">
      <w:bodyDiv w:val="1"/>
      <w:marLeft w:val="0"/>
      <w:marRight w:val="0"/>
      <w:marTop w:val="0"/>
      <w:marBottom w:val="0"/>
      <w:divBdr>
        <w:top w:val="none" w:sz="0" w:space="0" w:color="auto"/>
        <w:left w:val="none" w:sz="0" w:space="0" w:color="auto"/>
        <w:bottom w:val="none" w:sz="0" w:space="0" w:color="auto"/>
        <w:right w:val="none" w:sz="0" w:space="0" w:color="auto"/>
      </w:divBdr>
    </w:div>
    <w:div w:id="90012497">
      <w:bodyDiv w:val="1"/>
      <w:marLeft w:val="0"/>
      <w:marRight w:val="0"/>
      <w:marTop w:val="0"/>
      <w:marBottom w:val="0"/>
      <w:divBdr>
        <w:top w:val="none" w:sz="0" w:space="0" w:color="auto"/>
        <w:left w:val="none" w:sz="0" w:space="0" w:color="auto"/>
        <w:bottom w:val="none" w:sz="0" w:space="0" w:color="auto"/>
        <w:right w:val="none" w:sz="0" w:space="0" w:color="auto"/>
      </w:divBdr>
    </w:div>
    <w:div w:id="123280764">
      <w:bodyDiv w:val="1"/>
      <w:marLeft w:val="0"/>
      <w:marRight w:val="0"/>
      <w:marTop w:val="0"/>
      <w:marBottom w:val="0"/>
      <w:divBdr>
        <w:top w:val="none" w:sz="0" w:space="0" w:color="auto"/>
        <w:left w:val="none" w:sz="0" w:space="0" w:color="auto"/>
        <w:bottom w:val="none" w:sz="0" w:space="0" w:color="auto"/>
        <w:right w:val="none" w:sz="0" w:space="0" w:color="auto"/>
      </w:divBdr>
    </w:div>
    <w:div w:id="143131167">
      <w:bodyDiv w:val="1"/>
      <w:marLeft w:val="0"/>
      <w:marRight w:val="0"/>
      <w:marTop w:val="0"/>
      <w:marBottom w:val="0"/>
      <w:divBdr>
        <w:top w:val="none" w:sz="0" w:space="0" w:color="auto"/>
        <w:left w:val="none" w:sz="0" w:space="0" w:color="auto"/>
        <w:bottom w:val="none" w:sz="0" w:space="0" w:color="auto"/>
        <w:right w:val="none" w:sz="0" w:space="0" w:color="auto"/>
      </w:divBdr>
    </w:div>
    <w:div w:id="149445100">
      <w:bodyDiv w:val="1"/>
      <w:marLeft w:val="0"/>
      <w:marRight w:val="0"/>
      <w:marTop w:val="0"/>
      <w:marBottom w:val="0"/>
      <w:divBdr>
        <w:top w:val="none" w:sz="0" w:space="0" w:color="auto"/>
        <w:left w:val="none" w:sz="0" w:space="0" w:color="auto"/>
        <w:bottom w:val="none" w:sz="0" w:space="0" w:color="auto"/>
        <w:right w:val="none" w:sz="0" w:space="0" w:color="auto"/>
      </w:divBdr>
    </w:div>
    <w:div w:id="160780112">
      <w:bodyDiv w:val="1"/>
      <w:marLeft w:val="0"/>
      <w:marRight w:val="0"/>
      <w:marTop w:val="0"/>
      <w:marBottom w:val="0"/>
      <w:divBdr>
        <w:top w:val="none" w:sz="0" w:space="0" w:color="auto"/>
        <w:left w:val="none" w:sz="0" w:space="0" w:color="auto"/>
        <w:bottom w:val="none" w:sz="0" w:space="0" w:color="auto"/>
        <w:right w:val="none" w:sz="0" w:space="0" w:color="auto"/>
      </w:divBdr>
    </w:div>
    <w:div w:id="167403177">
      <w:bodyDiv w:val="1"/>
      <w:marLeft w:val="0"/>
      <w:marRight w:val="0"/>
      <w:marTop w:val="0"/>
      <w:marBottom w:val="0"/>
      <w:divBdr>
        <w:top w:val="none" w:sz="0" w:space="0" w:color="auto"/>
        <w:left w:val="none" w:sz="0" w:space="0" w:color="auto"/>
        <w:bottom w:val="none" w:sz="0" w:space="0" w:color="auto"/>
        <w:right w:val="none" w:sz="0" w:space="0" w:color="auto"/>
      </w:divBdr>
    </w:div>
    <w:div w:id="228031997">
      <w:bodyDiv w:val="1"/>
      <w:marLeft w:val="0"/>
      <w:marRight w:val="0"/>
      <w:marTop w:val="0"/>
      <w:marBottom w:val="0"/>
      <w:divBdr>
        <w:top w:val="none" w:sz="0" w:space="0" w:color="auto"/>
        <w:left w:val="none" w:sz="0" w:space="0" w:color="auto"/>
        <w:bottom w:val="none" w:sz="0" w:space="0" w:color="auto"/>
        <w:right w:val="none" w:sz="0" w:space="0" w:color="auto"/>
      </w:divBdr>
    </w:div>
    <w:div w:id="260070610">
      <w:bodyDiv w:val="1"/>
      <w:marLeft w:val="0"/>
      <w:marRight w:val="0"/>
      <w:marTop w:val="0"/>
      <w:marBottom w:val="0"/>
      <w:divBdr>
        <w:top w:val="none" w:sz="0" w:space="0" w:color="auto"/>
        <w:left w:val="none" w:sz="0" w:space="0" w:color="auto"/>
        <w:bottom w:val="none" w:sz="0" w:space="0" w:color="auto"/>
        <w:right w:val="none" w:sz="0" w:space="0" w:color="auto"/>
      </w:divBdr>
    </w:div>
    <w:div w:id="305669900">
      <w:bodyDiv w:val="1"/>
      <w:marLeft w:val="0"/>
      <w:marRight w:val="0"/>
      <w:marTop w:val="0"/>
      <w:marBottom w:val="0"/>
      <w:divBdr>
        <w:top w:val="none" w:sz="0" w:space="0" w:color="auto"/>
        <w:left w:val="none" w:sz="0" w:space="0" w:color="auto"/>
        <w:bottom w:val="none" w:sz="0" w:space="0" w:color="auto"/>
        <w:right w:val="none" w:sz="0" w:space="0" w:color="auto"/>
      </w:divBdr>
    </w:div>
    <w:div w:id="307170758">
      <w:bodyDiv w:val="1"/>
      <w:marLeft w:val="0"/>
      <w:marRight w:val="0"/>
      <w:marTop w:val="0"/>
      <w:marBottom w:val="0"/>
      <w:divBdr>
        <w:top w:val="none" w:sz="0" w:space="0" w:color="auto"/>
        <w:left w:val="none" w:sz="0" w:space="0" w:color="auto"/>
        <w:bottom w:val="none" w:sz="0" w:space="0" w:color="auto"/>
        <w:right w:val="none" w:sz="0" w:space="0" w:color="auto"/>
      </w:divBdr>
    </w:div>
    <w:div w:id="326787879">
      <w:bodyDiv w:val="1"/>
      <w:marLeft w:val="0"/>
      <w:marRight w:val="0"/>
      <w:marTop w:val="0"/>
      <w:marBottom w:val="0"/>
      <w:divBdr>
        <w:top w:val="none" w:sz="0" w:space="0" w:color="auto"/>
        <w:left w:val="none" w:sz="0" w:space="0" w:color="auto"/>
        <w:bottom w:val="none" w:sz="0" w:space="0" w:color="auto"/>
        <w:right w:val="none" w:sz="0" w:space="0" w:color="auto"/>
      </w:divBdr>
    </w:div>
    <w:div w:id="379977819">
      <w:bodyDiv w:val="1"/>
      <w:marLeft w:val="0"/>
      <w:marRight w:val="0"/>
      <w:marTop w:val="0"/>
      <w:marBottom w:val="0"/>
      <w:divBdr>
        <w:top w:val="none" w:sz="0" w:space="0" w:color="auto"/>
        <w:left w:val="none" w:sz="0" w:space="0" w:color="auto"/>
        <w:bottom w:val="none" w:sz="0" w:space="0" w:color="auto"/>
        <w:right w:val="none" w:sz="0" w:space="0" w:color="auto"/>
      </w:divBdr>
    </w:div>
    <w:div w:id="388310777">
      <w:bodyDiv w:val="1"/>
      <w:marLeft w:val="0"/>
      <w:marRight w:val="0"/>
      <w:marTop w:val="0"/>
      <w:marBottom w:val="0"/>
      <w:divBdr>
        <w:top w:val="none" w:sz="0" w:space="0" w:color="auto"/>
        <w:left w:val="none" w:sz="0" w:space="0" w:color="auto"/>
        <w:bottom w:val="none" w:sz="0" w:space="0" w:color="auto"/>
        <w:right w:val="none" w:sz="0" w:space="0" w:color="auto"/>
      </w:divBdr>
    </w:div>
    <w:div w:id="393434085">
      <w:bodyDiv w:val="1"/>
      <w:marLeft w:val="0"/>
      <w:marRight w:val="0"/>
      <w:marTop w:val="0"/>
      <w:marBottom w:val="0"/>
      <w:divBdr>
        <w:top w:val="none" w:sz="0" w:space="0" w:color="auto"/>
        <w:left w:val="none" w:sz="0" w:space="0" w:color="auto"/>
        <w:bottom w:val="none" w:sz="0" w:space="0" w:color="auto"/>
        <w:right w:val="none" w:sz="0" w:space="0" w:color="auto"/>
      </w:divBdr>
    </w:div>
    <w:div w:id="424762322">
      <w:bodyDiv w:val="1"/>
      <w:marLeft w:val="0"/>
      <w:marRight w:val="0"/>
      <w:marTop w:val="0"/>
      <w:marBottom w:val="0"/>
      <w:divBdr>
        <w:top w:val="none" w:sz="0" w:space="0" w:color="auto"/>
        <w:left w:val="none" w:sz="0" w:space="0" w:color="auto"/>
        <w:bottom w:val="none" w:sz="0" w:space="0" w:color="auto"/>
        <w:right w:val="none" w:sz="0" w:space="0" w:color="auto"/>
      </w:divBdr>
    </w:div>
    <w:div w:id="501437595">
      <w:bodyDiv w:val="1"/>
      <w:marLeft w:val="0"/>
      <w:marRight w:val="0"/>
      <w:marTop w:val="0"/>
      <w:marBottom w:val="0"/>
      <w:divBdr>
        <w:top w:val="none" w:sz="0" w:space="0" w:color="auto"/>
        <w:left w:val="none" w:sz="0" w:space="0" w:color="auto"/>
        <w:bottom w:val="none" w:sz="0" w:space="0" w:color="auto"/>
        <w:right w:val="none" w:sz="0" w:space="0" w:color="auto"/>
      </w:divBdr>
    </w:div>
    <w:div w:id="537083834">
      <w:bodyDiv w:val="1"/>
      <w:marLeft w:val="0"/>
      <w:marRight w:val="0"/>
      <w:marTop w:val="0"/>
      <w:marBottom w:val="0"/>
      <w:divBdr>
        <w:top w:val="none" w:sz="0" w:space="0" w:color="auto"/>
        <w:left w:val="none" w:sz="0" w:space="0" w:color="auto"/>
        <w:bottom w:val="none" w:sz="0" w:space="0" w:color="auto"/>
        <w:right w:val="none" w:sz="0" w:space="0" w:color="auto"/>
      </w:divBdr>
    </w:div>
    <w:div w:id="542984091">
      <w:bodyDiv w:val="1"/>
      <w:marLeft w:val="0"/>
      <w:marRight w:val="0"/>
      <w:marTop w:val="0"/>
      <w:marBottom w:val="0"/>
      <w:divBdr>
        <w:top w:val="none" w:sz="0" w:space="0" w:color="auto"/>
        <w:left w:val="none" w:sz="0" w:space="0" w:color="auto"/>
        <w:bottom w:val="none" w:sz="0" w:space="0" w:color="auto"/>
        <w:right w:val="none" w:sz="0" w:space="0" w:color="auto"/>
      </w:divBdr>
    </w:div>
    <w:div w:id="570045604">
      <w:bodyDiv w:val="1"/>
      <w:marLeft w:val="0"/>
      <w:marRight w:val="0"/>
      <w:marTop w:val="0"/>
      <w:marBottom w:val="0"/>
      <w:divBdr>
        <w:top w:val="none" w:sz="0" w:space="0" w:color="auto"/>
        <w:left w:val="none" w:sz="0" w:space="0" w:color="auto"/>
        <w:bottom w:val="none" w:sz="0" w:space="0" w:color="auto"/>
        <w:right w:val="none" w:sz="0" w:space="0" w:color="auto"/>
      </w:divBdr>
    </w:div>
    <w:div w:id="603003362">
      <w:bodyDiv w:val="1"/>
      <w:marLeft w:val="0"/>
      <w:marRight w:val="0"/>
      <w:marTop w:val="0"/>
      <w:marBottom w:val="0"/>
      <w:divBdr>
        <w:top w:val="none" w:sz="0" w:space="0" w:color="auto"/>
        <w:left w:val="none" w:sz="0" w:space="0" w:color="auto"/>
        <w:bottom w:val="none" w:sz="0" w:space="0" w:color="auto"/>
        <w:right w:val="none" w:sz="0" w:space="0" w:color="auto"/>
      </w:divBdr>
    </w:div>
    <w:div w:id="614950012">
      <w:bodyDiv w:val="1"/>
      <w:marLeft w:val="0"/>
      <w:marRight w:val="0"/>
      <w:marTop w:val="0"/>
      <w:marBottom w:val="0"/>
      <w:divBdr>
        <w:top w:val="none" w:sz="0" w:space="0" w:color="auto"/>
        <w:left w:val="none" w:sz="0" w:space="0" w:color="auto"/>
        <w:bottom w:val="none" w:sz="0" w:space="0" w:color="auto"/>
        <w:right w:val="none" w:sz="0" w:space="0" w:color="auto"/>
      </w:divBdr>
    </w:div>
    <w:div w:id="618222194">
      <w:bodyDiv w:val="1"/>
      <w:marLeft w:val="0"/>
      <w:marRight w:val="0"/>
      <w:marTop w:val="0"/>
      <w:marBottom w:val="0"/>
      <w:divBdr>
        <w:top w:val="none" w:sz="0" w:space="0" w:color="auto"/>
        <w:left w:val="none" w:sz="0" w:space="0" w:color="auto"/>
        <w:bottom w:val="none" w:sz="0" w:space="0" w:color="auto"/>
        <w:right w:val="none" w:sz="0" w:space="0" w:color="auto"/>
      </w:divBdr>
    </w:div>
    <w:div w:id="618686432">
      <w:bodyDiv w:val="1"/>
      <w:marLeft w:val="0"/>
      <w:marRight w:val="0"/>
      <w:marTop w:val="0"/>
      <w:marBottom w:val="0"/>
      <w:divBdr>
        <w:top w:val="none" w:sz="0" w:space="0" w:color="auto"/>
        <w:left w:val="none" w:sz="0" w:space="0" w:color="auto"/>
        <w:bottom w:val="none" w:sz="0" w:space="0" w:color="auto"/>
        <w:right w:val="none" w:sz="0" w:space="0" w:color="auto"/>
      </w:divBdr>
    </w:div>
    <w:div w:id="645549710">
      <w:bodyDiv w:val="1"/>
      <w:marLeft w:val="0"/>
      <w:marRight w:val="0"/>
      <w:marTop w:val="0"/>
      <w:marBottom w:val="0"/>
      <w:divBdr>
        <w:top w:val="none" w:sz="0" w:space="0" w:color="auto"/>
        <w:left w:val="none" w:sz="0" w:space="0" w:color="auto"/>
        <w:bottom w:val="none" w:sz="0" w:space="0" w:color="auto"/>
        <w:right w:val="none" w:sz="0" w:space="0" w:color="auto"/>
      </w:divBdr>
    </w:div>
    <w:div w:id="664553537">
      <w:bodyDiv w:val="1"/>
      <w:marLeft w:val="0"/>
      <w:marRight w:val="0"/>
      <w:marTop w:val="0"/>
      <w:marBottom w:val="0"/>
      <w:divBdr>
        <w:top w:val="none" w:sz="0" w:space="0" w:color="auto"/>
        <w:left w:val="none" w:sz="0" w:space="0" w:color="auto"/>
        <w:bottom w:val="none" w:sz="0" w:space="0" w:color="auto"/>
        <w:right w:val="none" w:sz="0" w:space="0" w:color="auto"/>
      </w:divBdr>
    </w:div>
    <w:div w:id="672685803">
      <w:bodyDiv w:val="1"/>
      <w:marLeft w:val="0"/>
      <w:marRight w:val="0"/>
      <w:marTop w:val="0"/>
      <w:marBottom w:val="0"/>
      <w:divBdr>
        <w:top w:val="none" w:sz="0" w:space="0" w:color="auto"/>
        <w:left w:val="none" w:sz="0" w:space="0" w:color="auto"/>
        <w:bottom w:val="none" w:sz="0" w:space="0" w:color="auto"/>
        <w:right w:val="none" w:sz="0" w:space="0" w:color="auto"/>
      </w:divBdr>
    </w:div>
    <w:div w:id="692926160">
      <w:bodyDiv w:val="1"/>
      <w:marLeft w:val="0"/>
      <w:marRight w:val="0"/>
      <w:marTop w:val="0"/>
      <w:marBottom w:val="0"/>
      <w:divBdr>
        <w:top w:val="none" w:sz="0" w:space="0" w:color="auto"/>
        <w:left w:val="none" w:sz="0" w:space="0" w:color="auto"/>
        <w:bottom w:val="none" w:sz="0" w:space="0" w:color="auto"/>
        <w:right w:val="none" w:sz="0" w:space="0" w:color="auto"/>
      </w:divBdr>
    </w:div>
    <w:div w:id="758062485">
      <w:bodyDiv w:val="1"/>
      <w:marLeft w:val="0"/>
      <w:marRight w:val="0"/>
      <w:marTop w:val="0"/>
      <w:marBottom w:val="0"/>
      <w:divBdr>
        <w:top w:val="none" w:sz="0" w:space="0" w:color="auto"/>
        <w:left w:val="none" w:sz="0" w:space="0" w:color="auto"/>
        <w:bottom w:val="none" w:sz="0" w:space="0" w:color="auto"/>
        <w:right w:val="none" w:sz="0" w:space="0" w:color="auto"/>
      </w:divBdr>
    </w:div>
    <w:div w:id="759256992">
      <w:bodyDiv w:val="1"/>
      <w:marLeft w:val="0"/>
      <w:marRight w:val="0"/>
      <w:marTop w:val="0"/>
      <w:marBottom w:val="0"/>
      <w:divBdr>
        <w:top w:val="none" w:sz="0" w:space="0" w:color="auto"/>
        <w:left w:val="none" w:sz="0" w:space="0" w:color="auto"/>
        <w:bottom w:val="none" w:sz="0" w:space="0" w:color="auto"/>
        <w:right w:val="none" w:sz="0" w:space="0" w:color="auto"/>
      </w:divBdr>
    </w:div>
    <w:div w:id="799419649">
      <w:bodyDiv w:val="1"/>
      <w:marLeft w:val="0"/>
      <w:marRight w:val="0"/>
      <w:marTop w:val="0"/>
      <w:marBottom w:val="0"/>
      <w:divBdr>
        <w:top w:val="none" w:sz="0" w:space="0" w:color="auto"/>
        <w:left w:val="none" w:sz="0" w:space="0" w:color="auto"/>
        <w:bottom w:val="none" w:sz="0" w:space="0" w:color="auto"/>
        <w:right w:val="none" w:sz="0" w:space="0" w:color="auto"/>
      </w:divBdr>
    </w:div>
    <w:div w:id="824585807">
      <w:bodyDiv w:val="1"/>
      <w:marLeft w:val="0"/>
      <w:marRight w:val="0"/>
      <w:marTop w:val="0"/>
      <w:marBottom w:val="0"/>
      <w:divBdr>
        <w:top w:val="none" w:sz="0" w:space="0" w:color="auto"/>
        <w:left w:val="none" w:sz="0" w:space="0" w:color="auto"/>
        <w:bottom w:val="none" w:sz="0" w:space="0" w:color="auto"/>
        <w:right w:val="none" w:sz="0" w:space="0" w:color="auto"/>
      </w:divBdr>
    </w:div>
    <w:div w:id="865364558">
      <w:bodyDiv w:val="1"/>
      <w:marLeft w:val="0"/>
      <w:marRight w:val="0"/>
      <w:marTop w:val="0"/>
      <w:marBottom w:val="0"/>
      <w:divBdr>
        <w:top w:val="none" w:sz="0" w:space="0" w:color="auto"/>
        <w:left w:val="none" w:sz="0" w:space="0" w:color="auto"/>
        <w:bottom w:val="none" w:sz="0" w:space="0" w:color="auto"/>
        <w:right w:val="none" w:sz="0" w:space="0" w:color="auto"/>
      </w:divBdr>
    </w:div>
    <w:div w:id="881672122">
      <w:bodyDiv w:val="1"/>
      <w:marLeft w:val="0"/>
      <w:marRight w:val="0"/>
      <w:marTop w:val="0"/>
      <w:marBottom w:val="0"/>
      <w:divBdr>
        <w:top w:val="none" w:sz="0" w:space="0" w:color="auto"/>
        <w:left w:val="none" w:sz="0" w:space="0" w:color="auto"/>
        <w:bottom w:val="none" w:sz="0" w:space="0" w:color="auto"/>
        <w:right w:val="none" w:sz="0" w:space="0" w:color="auto"/>
      </w:divBdr>
    </w:div>
    <w:div w:id="888805431">
      <w:bodyDiv w:val="1"/>
      <w:marLeft w:val="0"/>
      <w:marRight w:val="0"/>
      <w:marTop w:val="0"/>
      <w:marBottom w:val="0"/>
      <w:divBdr>
        <w:top w:val="none" w:sz="0" w:space="0" w:color="auto"/>
        <w:left w:val="none" w:sz="0" w:space="0" w:color="auto"/>
        <w:bottom w:val="none" w:sz="0" w:space="0" w:color="auto"/>
        <w:right w:val="none" w:sz="0" w:space="0" w:color="auto"/>
      </w:divBdr>
    </w:div>
    <w:div w:id="927235253">
      <w:bodyDiv w:val="1"/>
      <w:marLeft w:val="0"/>
      <w:marRight w:val="0"/>
      <w:marTop w:val="0"/>
      <w:marBottom w:val="0"/>
      <w:divBdr>
        <w:top w:val="none" w:sz="0" w:space="0" w:color="auto"/>
        <w:left w:val="none" w:sz="0" w:space="0" w:color="auto"/>
        <w:bottom w:val="none" w:sz="0" w:space="0" w:color="auto"/>
        <w:right w:val="none" w:sz="0" w:space="0" w:color="auto"/>
      </w:divBdr>
    </w:div>
    <w:div w:id="934442749">
      <w:bodyDiv w:val="1"/>
      <w:marLeft w:val="0"/>
      <w:marRight w:val="0"/>
      <w:marTop w:val="0"/>
      <w:marBottom w:val="0"/>
      <w:divBdr>
        <w:top w:val="none" w:sz="0" w:space="0" w:color="auto"/>
        <w:left w:val="none" w:sz="0" w:space="0" w:color="auto"/>
        <w:bottom w:val="none" w:sz="0" w:space="0" w:color="auto"/>
        <w:right w:val="none" w:sz="0" w:space="0" w:color="auto"/>
      </w:divBdr>
    </w:div>
    <w:div w:id="950741005">
      <w:bodyDiv w:val="1"/>
      <w:marLeft w:val="0"/>
      <w:marRight w:val="0"/>
      <w:marTop w:val="0"/>
      <w:marBottom w:val="0"/>
      <w:divBdr>
        <w:top w:val="none" w:sz="0" w:space="0" w:color="auto"/>
        <w:left w:val="none" w:sz="0" w:space="0" w:color="auto"/>
        <w:bottom w:val="none" w:sz="0" w:space="0" w:color="auto"/>
        <w:right w:val="none" w:sz="0" w:space="0" w:color="auto"/>
      </w:divBdr>
    </w:div>
    <w:div w:id="962274458">
      <w:bodyDiv w:val="1"/>
      <w:marLeft w:val="0"/>
      <w:marRight w:val="0"/>
      <w:marTop w:val="0"/>
      <w:marBottom w:val="0"/>
      <w:divBdr>
        <w:top w:val="none" w:sz="0" w:space="0" w:color="auto"/>
        <w:left w:val="none" w:sz="0" w:space="0" w:color="auto"/>
        <w:bottom w:val="none" w:sz="0" w:space="0" w:color="auto"/>
        <w:right w:val="none" w:sz="0" w:space="0" w:color="auto"/>
      </w:divBdr>
    </w:div>
    <w:div w:id="970404145">
      <w:bodyDiv w:val="1"/>
      <w:marLeft w:val="0"/>
      <w:marRight w:val="0"/>
      <w:marTop w:val="0"/>
      <w:marBottom w:val="0"/>
      <w:divBdr>
        <w:top w:val="none" w:sz="0" w:space="0" w:color="auto"/>
        <w:left w:val="none" w:sz="0" w:space="0" w:color="auto"/>
        <w:bottom w:val="none" w:sz="0" w:space="0" w:color="auto"/>
        <w:right w:val="none" w:sz="0" w:space="0" w:color="auto"/>
      </w:divBdr>
    </w:div>
    <w:div w:id="986936315">
      <w:bodyDiv w:val="1"/>
      <w:marLeft w:val="0"/>
      <w:marRight w:val="0"/>
      <w:marTop w:val="0"/>
      <w:marBottom w:val="0"/>
      <w:divBdr>
        <w:top w:val="none" w:sz="0" w:space="0" w:color="auto"/>
        <w:left w:val="none" w:sz="0" w:space="0" w:color="auto"/>
        <w:bottom w:val="none" w:sz="0" w:space="0" w:color="auto"/>
        <w:right w:val="none" w:sz="0" w:space="0" w:color="auto"/>
      </w:divBdr>
    </w:div>
    <w:div w:id="997003397">
      <w:bodyDiv w:val="1"/>
      <w:marLeft w:val="0"/>
      <w:marRight w:val="0"/>
      <w:marTop w:val="0"/>
      <w:marBottom w:val="0"/>
      <w:divBdr>
        <w:top w:val="none" w:sz="0" w:space="0" w:color="auto"/>
        <w:left w:val="none" w:sz="0" w:space="0" w:color="auto"/>
        <w:bottom w:val="none" w:sz="0" w:space="0" w:color="auto"/>
        <w:right w:val="none" w:sz="0" w:space="0" w:color="auto"/>
      </w:divBdr>
    </w:div>
    <w:div w:id="1091583718">
      <w:bodyDiv w:val="1"/>
      <w:marLeft w:val="0"/>
      <w:marRight w:val="0"/>
      <w:marTop w:val="0"/>
      <w:marBottom w:val="0"/>
      <w:divBdr>
        <w:top w:val="none" w:sz="0" w:space="0" w:color="auto"/>
        <w:left w:val="none" w:sz="0" w:space="0" w:color="auto"/>
        <w:bottom w:val="none" w:sz="0" w:space="0" w:color="auto"/>
        <w:right w:val="none" w:sz="0" w:space="0" w:color="auto"/>
      </w:divBdr>
    </w:div>
    <w:div w:id="1092160976">
      <w:bodyDiv w:val="1"/>
      <w:marLeft w:val="0"/>
      <w:marRight w:val="0"/>
      <w:marTop w:val="0"/>
      <w:marBottom w:val="0"/>
      <w:divBdr>
        <w:top w:val="none" w:sz="0" w:space="0" w:color="auto"/>
        <w:left w:val="none" w:sz="0" w:space="0" w:color="auto"/>
        <w:bottom w:val="none" w:sz="0" w:space="0" w:color="auto"/>
        <w:right w:val="none" w:sz="0" w:space="0" w:color="auto"/>
      </w:divBdr>
    </w:div>
    <w:div w:id="1126195744">
      <w:bodyDiv w:val="1"/>
      <w:marLeft w:val="0"/>
      <w:marRight w:val="0"/>
      <w:marTop w:val="0"/>
      <w:marBottom w:val="0"/>
      <w:divBdr>
        <w:top w:val="none" w:sz="0" w:space="0" w:color="auto"/>
        <w:left w:val="none" w:sz="0" w:space="0" w:color="auto"/>
        <w:bottom w:val="none" w:sz="0" w:space="0" w:color="auto"/>
        <w:right w:val="none" w:sz="0" w:space="0" w:color="auto"/>
      </w:divBdr>
    </w:div>
    <w:div w:id="1138381084">
      <w:bodyDiv w:val="1"/>
      <w:marLeft w:val="0"/>
      <w:marRight w:val="0"/>
      <w:marTop w:val="0"/>
      <w:marBottom w:val="0"/>
      <w:divBdr>
        <w:top w:val="none" w:sz="0" w:space="0" w:color="auto"/>
        <w:left w:val="none" w:sz="0" w:space="0" w:color="auto"/>
        <w:bottom w:val="none" w:sz="0" w:space="0" w:color="auto"/>
        <w:right w:val="none" w:sz="0" w:space="0" w:color="auto"/>
      </w:divBdr>
    </w:div>
    <w:div w:id="1144784161">
      <w:bodyDiv w:val="1"/>
      <w:marLeft w:val="0"/>
      <w:marRight w:val="0"/>
      <w:marTop w:val="0"/>
      <w:marBottom w:val="0"/>
      <w:divBdr>
        <w:top w:val="none" w:sz="0" w:space="0" w:color="auto"/>
        <w:left w:val="none" w:sz="0" w:space="0" w:color="auto"/>
        <w:bottom w:val="none" w:sz="0" w:space="0" w:color="auto"/>
        <w:right w:val="none" w:sz="0" w:space="0" w:color="auto"/>
      </w:divBdr>
    </w:div>
    <w:div w:id="1171027715">
      <w:bodyDiv w:val="1"/>
      <w:marLeft w:val="0"/>
      <w:marRight w:val="0"/>
      <w:marTop w:val="0"/>
      <w:marBottom w:val="0"/>
      <w:divBdr>
        <w:top w:val="none" w:sz="0" w:space="0" w:color="auto"/>
        <w:left w:val="none" w:sz="0" w:space="0" w:color="auto"/>
        <w:bottom w:val="none" w:sz="0" w:space="0" w:color="auto"/>
        <w:right w:val="none" w:sz="0" w:space="0" w:color="auto"/>
      </w:divBdr>
    </w:div>
    <w:div w:id="1178302645">
      <w:bodyDiv w:val="1"/>
      <w:marLeft w:val="0"/>
      <w:marRight w:val="0"/>
      <w:marTop w:val="0"/>
      <w:marBottom w:val="0"/>
      <w:divBdr>
        <w:top w:val="none" w:sz="0" w:space="0" w:color="auto"/>
        <w:left w:val="none" w:sz="0" w:space="0" w:color="auto"/>
        <w:bottom w:val="none" w:sz="0" w:space="0" w:color="auto"/>
        <w:right w:val="none" w:sz="0" w:space="0" w:color="auto"/>
      </w:divBdr>
    </w:div>
    <w:div w:id="1213688910">
      <w:bodyDiv w:val="1"/>
      <w:marLeft w:val="0"/>
      <w:marRight w:val="0"/>
      <w:marTop w:val="0"/>
      <w:marBottom w:val="0"/>
      <w:divBdr>
        <w:top w:val="none" w:sz="0" w:space="0" w:color="auto"/>
        <w:left w:val="none" w:sz="0" w:space="0" w:color="auto"/>
        <w:bottom w:val="none" w:sz="0" w:space="0" w:color="auto"/>
        <w:right w:val="none" w:sz="0" w:space="0" w:color="auto"/>
      </w:divBdr>
    </w:div>
    <w:div w:id="1295022517">
      <w:bodyDiv w:val="1"/>
      <w:marLeft w:val="0"/>
      <w:marRight w:val="0"/>
      <w:marTop w:val="0"/>
      <w:marBottom w:val="0"/>
      <w:divBdr>
        <w:top w:val="none" w:sz="0" w:space="0" w:color="auto"/>
        <w:left w:val="none" w:sz="0" w:space="0" w:color="auto"/>
        <w:bottom w:val="none" w:sz="0" w:space="0" w:color="auto"/>
        <w:right w:val="none" w:sz="0" w:space="0" w:color="auto"/>
      </w:divBdr>
    </w:div>
    <w:div w:id="1311248193">
      <w:bodyDiv w:val="1"/>
      <w:marLeft w:val="0"/>
      <w:marRight w:val="0"/>
      <w:marTop w:val="0"/>
      <w:marBottom w:val="0"/>
      <w:divBdr>
        <w:top w:val="none" w:sz="0" w:space="0" w:color="auto"/>
        <w:left w:val="none" w:sz="0" w:space="0" w:color="auto"/>
        <w:bottom w:val="none" w:sz="0" w:space="0" w:color="auto"/>
        <w:right w:val="none" w:sz="0" w:space="0" w:color="auto"/>
      </w:divBdr>
    </w:div>
    <w:div w:id="1317688384">
      <w:bodyDiv w:val="1"/>
      <w:marLeft w:val="0"/>
      <w:marRight w:val="0"/>
      <w:marTop w:val="0"/>
      <w:marBottom w:val="0"/>
      <w:divBdr>
        <w:top w:val="none" w:sz="0" w:space="0" w:color="auto"/>
        <w:left w:val="none" w:sz="0" w:space="0" w:color="auto"/>
        <w:bottom w:val="none" w:sz="0" w:space="0" w:color="auto"/>
        <w:right w:val="none" w:sz="0" w:space="0" w:color="auto"/>
      </w:divBdr>
    </w:div>
    <w:div w:id="1319075525">
      <w:bodyDiv w:val="1"/>
      <w:marLeft w:val="0"/>
      <w:marRight w:val="0"/>
      <w:marTop w:val="0"/>
      <w:marBottom w:val="0"/>
      <w:divBdr>
        <w:top w:val="none" w:sz="0" w:space="0" w:color="auto"/>
        <w:left w:val="none" w:sz="0" w:space="0" w:color="auto"/>
        <w:bottom w:val="none" w:sz="0" w:space="0" w:color="auto"/>
        <w:right w:val="none" w:sz="0" w:space="0" w:color="auto"/>
      </w:divBdr>
    </w:div>
    <w:div w:id="1397699983">
      <w:bodyDiv w:val="1"/>
      <w:marLeft w:val="0"/>
      <w:marRight w:val="0"/>
      <w:marTop w:val="0"/>
      <w:marBottom w:val="0"/>
      <w:divBdr>
        <w:top w:val="none" w:sz="0" w:space="0" w:color="auto"/>
        <w:left w:val="none" w:sz="0" w:space="0" w:color="auto"/>
        <w:bottom w:val="none" w:sz="0" w:space="0" w:color="auto"/>
        <w:right w:val="none" w:sz="0" w:space="0" w:color="auto"/>
      </w:divBdr>
    </w:div>
    <w:div w:id="1492255064">
      <w:bodyDiv w:val="1"/>
      <w:marLeft w:val="0"/>
      <w:marRight w:val="0"/>
      <w:marTop w:val="0"/>
      <w:marBottom w:val="0"/>
      <w:divBdr>
        <w:top w:val="none" w:sz="0" w:space="0" w:color="auto"/>
        <w:left w:val="none" w:sz="0" w:space="0" w:color="auto"/>
        <w:bottom w:val="none" w:sz="0" w:space="0" w:color="auto"/>
        <w:right w:val="none" w:sz="0" w:space="0" w:color="auto"/>
      </w:divBdr>
    </w:div>
    <w:div w:id="1508866235">
      <w:bodyDiv w:val="1"/>
      <w:marLeft w:val="0"/>
      <w:marRight w:val="0"/>
      <w:marTop w:val="0"/>
      <w:marBottom w:val="0"/>
      <w:divBdr>
        <w:top w:val="none" w:sz="0" w:space="0" w:color="auto"/>
        <w:left w:val="none" w:sz="0" w:space="0" w:color="auto"/>
        <w:bottom w:val="none" w:sz="0" w:space="0" w:color="auto"/>
        <w:right w:val="none" w:sz="0" w:space="0" w:color="auto"/>
      </w:divBdr>
    </w:div>
    <w:div w:id="1524900848">
      <w:bodyDiv w:val="1"/>
      <w:marLeft w:val="0"/>
      <w:marRight w:val="0"/>
      <w:marTop w:val="0"/>
      <w:marBottom w:val="0"/>
      <w:divBdr>
        <w:top w:val="none" w:sz="0" w:space="0" w:color="auto"/>
        <w:left w:val="none" w:sz="0" w:space="0" w:color="auto"/>
        <w:bottom w:val="none" w:sz="0" w:space="0" w:color="auto"/>
        <w:right w:val="none" w:sz="0" w:space="0" w:color="auto"/>
      </w:divBdr>
    </w:div>
    <w:div w:id="1546285322">
      <w:bodyDiv w:val="1"/>
      <w:marLeft w:val="0"/>
      <w:marRight w:val="0"/>
      <w:marTop w:val="0"/>
      <w:marBottom w:val="0"/>
      <w:divBdr>
        <w:top w:val="none" w:sz="0" w:space="0" w:color="auto"/>
        <w:left w:val="none" w:sz="0" w:space="0" w:color="auto"/>
        <w:bottom w:val="none" w:sz="0" w:space="0" w:color="auto"/>
        <w:right w:val="none" w:sz="0" w:space="0" w:color="auto"/>
      </w:divBdr>
    </w:div>
    <w:div w:id="1579287069">
      <w:bodyDiv w:val="1"/>
      <w:marLeft w:val="0"/>
      <w:marRight w:val="0"/>
      <w:marTop w:val="0"/>
      <w:marBottom w:val="0"/>
      <w:divBdr>
        <w:top w:val="none" w:sz="0" w:space="0" w:color="auto"/>
        <w:left w:val="none" w:sz="0" w:space="0" w:color="auto"/>
        <w:bottom w:val="none" w:sz="0" w:space="0" w:color="auto"/>
        <w:right w:val="none" w:sz="0" w:space="0" w:color="auto"/>
      </w:divBdr>
    </w:div>
    <w:div w:id="1579629839">
      <w:bodyDiv w:val="1"/>
      <w:marLeft w:val="0"/>
      <w:marRight w:val="0"/>
      <w:marTop w:val="0"/>
      <w:marBottom w:val="0"/>
      <w:divBdr>
        <w:top w:val="none" w:sz="0" w:space="0" w:color="auto"/>
        <w:left w:val="none" w:sz="0" w:space="0" w:color="auto"/>
        <w:bottom w:val="none" w:sz="0" w:space="0" w:color="auto"/>
        <w:right w:val="none" w:sz="0" w:space="0" w:color="auto"/>
      </w:divBdr>
    </w:div>
    <w:div w:id="1598175737">
      <w:bodyDiv w:val="1"/>
      <w:marLeft w:val="0"/>
      <w:marRight w:val="0"/>
      <w:marTop w:val="0"/>
      <w:marBottom w:val="0"/>
      <w:divBdr>
        <w:top w:val="none" w:sz="0" w:space="0" w:color="auto"/>
        <w:left w:val="none" w:sz="0" w:space="0" w:color="auto"/>
        <w:bottom w:val="none" w:sz="0" w:space="0" w:color="auto"/>
        <w:right w:val="none" w:sz="0" w:space="0" w:color="auto"/>
      </w:divBdr>
    </w:div>
    <w:div w:id="1610963478">
      <w:bodyDiv w:val="1"/>
      <w:marLeft w:val="0"/>
      <w:marRight w:val="0"/>
      <w:marTop w:val="0"/>
      <w:marBottom w:val="0"/>
      <w:divBdr>
        <w:top w:val="none" w:sz="0" w:space="0" w:color="auto"/>
        <w:left w:val="none" w:sz="0" w:space="0" w:color="auto"/>
        <w:bottom w:val="none" w:sz="0" w:space="0" w:color="auto"/>
        <w:right w:val="none" w:sz="0" w:space="0" w:color="auto"/>
      </w:divBdr>
    </w:div>
    <w:div w:id="1619603678">
      <w:bodyDiv w:val="1"/>
      <w:marLeft w:val="0"/>
      <w:marRight w:val="0"/>
      <w:marTop w:val="0"/>
      <w:marBottom w:val="0"/>
      <w:divBdr>
        <w:top w:val="none" w:sz="0" w:space="0" w:color="auto"/>
        <w:left w:val="none" w:sz="0" w:space="0" w:color="auto"/>
        <w:bottom w:val="none" w:sz="0" w:space="0" w:color="auto"/>
        <w:right w:val="none" w:sz="0" w:space="0" w:color="auto"/>
      </w:divBdr>
    </w:div>
    <w:div w:id="1656497276">
      <w:bodyDiv w:val="1"/>
      <w:marLeft w:val="0"/>
      <w:marRight w:val="0"/>
      <w:marTop w:val="0"/>
      <w:marBottom w:val="0"/>
      <w:divBdr>
        <w:top w:val="none" w:sz="0" w:space="0" w:color="auto"/>
        <w:left w:val="none" w:sz="0" w:space="0" w:color="auto"/>
        <w:bottom w:val="none" w:sz="0" w:space="0" w:color="auto"/>
        <w:right w:val="none" w:sz="0" w:space="0" w:color="auto"/>
      </w:divBdr>
    </w:div>
    <w:div w:id="1693990771">
      <w:bodyDiv w:val="1"/>
      <w:marLeft w:val="0"/>
      <w:marRight w:val="0"/>
      <w:marTop w:val="0"/>
      <w:marBottom w:val="0"/>
      <w:divBdr>
        <w:top w:val="none" w:sz="0" w:space="0" w:color="auto"/>
        <w:left w:val="none" w:sz="0" w:space="0" w:color="auto"/>
        <w:bottom w:val="none" w:sz="0" w:space="0" w:color="auto"/>
        <w:right w:val="none" w:sz="0" w:space="0" w:color="auto"/>
      </w:divBdr>
    </w:div>
    <w:div w:id="1733767342">
      <w:bodyDiv w:val="1"/>
      <w:marLeft w:val="0"/>
      <w:marRight w:val="0"/>
      <w:marTop w:val="0"/>
      <w:marBottom w:val="0"/>
      <w:divBdr>
        <w:top w:val="none" w:sz="0" w:space="0" w:color="auto"/>
        <w:left w:val="none" w:sz="0" w:space="0" w:color="auto"/>
        <w:bottom w:val="none" w:sz="0" w:space="0" w:color="auto"/>
        <w:right w:val="none" w:sz="0" w:space="0" w:color="auto"/>
      </w:divBdr>
    </w:div>
    <w:div w:id="1750469321">
      <w:bodyDiv w:val="1"/>
      <w:marLeft w:val="0"/>
      <w:marRight w:val="0"/>
      <w:marTop w:val="0"/>
      <w:marBottom w:val="0"/>
      <w:divBdr>
        <w:top w:val="none" w:sz="0" w:space="0" w:color="auto"/>
        <w:left w:val="none" w:sz="0" w:space="0" w:color="auto"/>
        <w:bottom w:val="none" w:sz="0" w:space="0" w:color="auto"/>
        <w:right w:val="none" w:sz="0" w:space="0" w:color="auto"/>
      </w:divBdr>
    </w:div>
    <w:div w:id="1756701249">
      <w:bodyDiv w:val="1"/>
      <w:marLeft w:val="0"/>
      <w:marRight w:val="0"/>
      <w:marTop w:val="0"/>
      <w:marBottom w:val="0"/>
      <w:divBdr>
        <w:top w:val="none" w:sz="0" w:space="0" w:color="auto"/>
        <w:left w:val="none" w:sz="0" w:space="0" w:color="auto"/>
        <w:bottom w:val="none" w:sz="0" w:space="0" w:color="auto"/>
        <w:right w:val="none" w:sz="0" w:space="0" w:color="auto"/>
      </w:divBdr>
    </w:div>
    <w:div w:id="1768385971">
      <w:bodyDiv w:val="1"/>
      <w:marLeft w:val="0"/>
      <w:marRight w:val="0"/>
      <w:marTop w:val="0"/>
      <w:marBottom w:val="0"/>
      <w:divBdr>
        <w:top w:val="none" w:sz="0" w:space="0" w:color="auto"/>
        <w:left w:val="none" w:sz="0" w:space="0" w:color="auto"/>
        <w:bottom w:val="none" w:sz="0" w:space="0" w:color="auto"/>
        <w:right w:val="none" w:sz="0" w:space="0" w:color="auto"/>
      </w:divBdr>
    </w:div>
    <w:div w:id="1771705376">
      <w:bodyDiv w:val="1"/>
      <w:marLeft w:val="0"/>
      <w:marRight w:val="0"/>
      <w:marTop w:val="0"/>
      <w:marBottom w:val="0"/>
      <w:divBdr>
        <w:top w:val="none" w:sz="0" w:space="0" w:color="auto"/>
        <w:left w:val="none" w:sz="0" w:space="0" w:color="auto"/>
        <w:bottom w:val="none" w:sz="0" w:space="0" w:color="auto"/>
        <w:right w:val="none" w:sz="0" w:space="0" w:color="auto"/>
      </w:divBdr>
    </w:div>
    <w:div w:id="1802338217">
      <w:bodyDiv w:val="1"/>
      <w:marLeft w:val="0"/>
      <w:marRight w:val="0"/>
      <w:marTop w:val="0"/>
      <w:marBottom w:val="0"/>
      <w:divBdr>
        <w:top w:val="none" w:sz="0" w:space="0" w:color="auto"/>
        <w:left w:val="none" w:sz="0" w:space="0" w:color="auto"/>
        <w:bottom w:val="none" w:sz="0" w:space="0" w:color="auto"/>
        <w:right w:val="none" w:sz="0" w:space="0" w:color="auto"/>
      </w:divBdr>
    </w:div>
    <w:div w:id="1815565277">
      <w:bodyDiv w:val="1"/>
      <w:marLeft w:val="0"/>
      <w:marRight w:val="0"/>
      <w:marTop w:val="0"/>
      <w:marBottom w:val="0"/>
      <w:divBdr>
        <w:top w:val="none" w:sz="0" w:space="0" w:color="auto"/>
        <w:left w:val="none" w:sz="0" w:space="0" w:color="auto"/>
        <w:bottom w:val="none" w:sz="0" w:space="0" w:color="auto"/>
        <w:right w:val="none" w:sz="0" w:space="0" w:color="auto"/>
      </w:divBdr>
    </w:div>
    <w:div w:id="1824008801">
      <w:bodyDiv w:val="1"/>
      <w:marLeft w:val="0"/>
      <w:marRight w:val="0"/>
      <w:marTop w:val="0"/>
      <w:marBottom w:val="0"/>
      <w:divBdr>
        <w:top w:val="none" w:sz="0" w:space="0" w:color="auto"/>
        <w:left w:val="none" w:sz="0" w:space="0" w:color="auto"/>
        <w:bottom w:val="none" w:sz="0" w:space="0" w:color="auto"/>
        <w:right w:val="none" w:sz="0" w:space="0" w:color="auto"/>
      </w:divBdr>
    </w:div>
    <w:div w:id="1835606530">
      <w:bodyDiv w:val="1"/>
      <w:marLeft w:val="0"/>
      <w:marRight w:val="0"/>
      <w:marTop w:val="0"/>
      <w:marBottom w:val="0"/>
      <w:divBdr>
        <w:top w:val="none" w:sz="0" w:space="0" w:color="auto"/>
        <w:left w:val="none" w:sz="0" w:space="0" w:color="auto"/>
        <w:bottom w:val="none" w:sz="0" w:space="0" w:color="auto"/>
        <w:right w:val="none" w:sz="0" w:space="0" w:color="auto"/>
      </w:divBdr>
    </w:div>
    <w:div w:id="1896089228">
      <w:bodyDiv w:val="1"/>
      <w:marLeft w:val="0"/>
      <w:marRight w:val="0"/>
      <w:marTop w:val="0"/>
      <w:marBottom w:val="0"/>
      <w:divBdr>
        <w:top w:val="none" w:sz="0" w:space="0" w:color="auto"/>
        <w:left w:val="none" w:sz="0" w:space="0" w:color="auto"/>
        <w:bottom w:val="none" w:sz="0" w:space="0" w:color="auto"/>
        <w:right w:val="none" w:sz="0" w:space="0" w:color="auto"/>
      </w:divBdr>
    </w:div>
    <w:div w:id="1898272981">
      <w:bodyDiv w:val="1"/>
      <w:marLeft w:val="0"/>
      <w:marRight w:val="0"/>
      <w:marTop w:val="0"/>
      <w:marBottom w:val="0"/>
      <w:divBdr>
        <w:top w:val="none" w:sz="0" w:space="0" w:color="auto"/>
        <w:left w:val="none" w:sz="0" w:space="0" w:color="auto"/>
        <w:bottom w:val="none" w:sz="0" w:space="0" w:color="auto"/>
        <w:right w:val="none" w:sz="0" w:space="0" w:color="auto"/>
      </w:divBdr>
    </w:div>
    <w:div w:id="1926451282">
      <w:bodyDiv w:val="1"/>
      <w:marLeft w:val="0"/>
      <w:marRight w:val="0"/>
      <w:marTop w:val="0"/>
      <w:marBottom w:val="0"/>
      <w:divBdr>
        <w:top w:val="none" w:sz="0" w:space="0" w:color="auto"/>
        <w:left w:val="none" w:sz="0" w:space="0" w:color="auto"/>
        <w:bottom w:val="none" w:sz="0" w:space="0" w:color="auto"/>
        <w:right w:val="none" w:sz="0" w:space="0" w:color="auto"/>
      </w:divBdr>
    </w:div>
    <w:div w:id="1938512475">
      <w:bodyDiv w:val="1"/>
      <w:marLeft w:val="0"/>
      <w:marRight w:val="0"/>
      <w:marTop w:val="0"/>
      <w:marBottom w:val="0"/>
      <w:divBdr>
        <w:top w:val="none" w:sz="0" w:space="0" w:color="auto"/>
        <w:left w:val="none" w:sz="0" w:space="0" w:color="auto"/>
        <w:bottom w:val="none" w:sz="0" w:space="0" w:color="auto"/>
        <w:right w:val="none" w:sz="0" w:space="0" w:color="auto"/>
      </w:divBdr>
    </w:div>
    <w:div w:id="1976252966">
      <w:bodyDiv w:val="1"/>
      <w:marLeft w:val="0"/>
      <w:marRight w:val="0"/>
      <w:marTop w:val="0"/>
      <w:marBottom w:val="0"/>
      <w:divBdr>
        <w:top w:val="none" w:sz="0" w:space="0" w:color="auto"/>
        <w:left w:val="none" w:sz="0" w:space="0" w:color="auto"/>
        <w:bottom w:val="none" w:sz="0" w:space="0" w:color="auto"/>
        <w:right w:val="none" w:sz="0" w:space="0" w:color="auto"/>
      </w:divBdr>
    </w:div>
    <w:div w:id="2005819182">
      <w:bodyDiv w:val="1"/>
      <w:marLeft w:val="0"/>
      <w:marRight w:val="0"/>
      <w:marTop w:val="0"/>
      <w:marBottom w:val="0"/>
      <w:divBdr>
        <w:top w:val="none" w:sz="0" w:space="0" w:color="auto"/>
        <w:left w:val="none" w:sz="0" w:space="0" w:color="auto"/>
        <w:bottom w:val="none" w:sz="0" w:space="0" w:color="auto"/>
        <w:right w:val="none" w:sz="0" w:space="0" w:color="auto"/>
      </w:divBdr>
    </w:div>
    <w:div w:id="2017925520">
      <w:bodyDiv w:val="1"/>
      <w:marLeft w:val="0"/>
      <w:marRight w:val="0"/>
      <w:marTop w:val="0"/>
      <w:marBottom w:val="0"/>
      <w:divBdr>
        <w:top w:val="none" w:sz="0" w:space="0" w:color="auto"/>
        <w:left w:val="none" w:sz="0" w:space="0" w:color="auto"/>
        <w:bottom w:val="none" w:sz="0" w:space="0" w:color="auto"/>
        <w:right w:val="none" w:sz="0" w:space="0" w:color="auto"/>
      </w:divBdr>
    </w:div>
    <w:div w:id="2037146595">
      <w:bodyDiv w:val="1"/>
      <w:marLeft w:val="0"/>
      <w:marRight w:val="0"/>
      <w:marTop w:val="0"/>
      <w:marBottom w:val="0"/>
      <w:divBdr>
        <w:top w:val="none" w:sz="0" w:space="0" w:color="auto"/>
        <w:left w:val="none" w:sz="0" w:space="0" w:color="auto"/>
        <w:bottom w:val="none" w:sz="0" w:space="0" w:color="auto"/>
        <w:right w:val="none" w:sz="0" w:space="0" w:color="auto"/>
      </w:divBdr>
    </w:div>
    <w:div w:id="2042125939">
      <w:bodyDiv w:val="1"/>
      <w:marLeft w:val="0"/>
      <w:marRight w:val="0"/>
      <w:marTop w:val="0"/>
      <w:marBottom w:val="0"/>
      <w:divBdr>
        <w:top w:val="none" w:sz="0" w:space="0" w:color="auto"/>
        <w:left w:val="none" w:sz="0" w:space="0" w:color="auto"/>
        <w:bottom w:val="none" w:sz="0" w:space="0" w:color="auto"/>
        <w:right w:val="none" w:sz="0" w:space="0" w:color="auto"/>
      </w:divBdr>
    </w:div>
    <w:div w:id="2068340151">
      <w:bodyDiv w:val="1"/>
      <w:marLeft w:val="0"/>
      <w:marRight w:val="0"/>
      <w:marTop w:val="0"/>
      <w:marBottom w:val="0"/>
      <w:divBdr>
        <w:top w:val="none" w:sz="0" w:space="0" w:color="auto"/>
        <w:left w:val="none" w:sz="0" w:space="0" w:color="auto"/>
        <w:bottom w:val="none" w:sz="0" w:space="0" w:color="auto"/>
        <w:right w:val="none" w:sz="0" w:space="0" w:color="auto"/>
      </w:divBdr>
    </w:div>
    <w:div w:id="2080521939">
      <w:bodyDiv w:val="1"/>
      <w:marLeft w:val="0"/>
      <w:marRight w:val="0"/>
      <w:marTop w:val="0"/>
      <w:marBottom w:val="0"/>
      <w:divBdr>
        <w:top w:val="none" w:sz="0" w:space="0" w:color="auto"/>
        <w:left w:val="none" w:sz="0" w:space="0" w:color="auto"/>
        <w:bottom w:val="none" w:sz="0" w:space="0" w:color="auto"/>
        <w:right w:val="none" w:sz="0" w:space="0" w:color="auto"/>
      </w:divBdr>
    </w:div>
    <w:div w:id="2095349091">
      <w:bodyDiv w:val="1"/>
      <w:marLeft w:val="0"/>
      <w:marRight w:val="0"/>
      <w:marTop w:val="0"/>
      <w:marBottom w:val="0"/>
      <w:divBdr>
        <w:top w:val="none" w:sz="0" w:space="0" w:color="auto"/>
        <w:left w:val="none" w:sz="0" w:space="0" w:color="auto"/>
        <w:bottom w:val="none" w:sz="0" w:space="0" w:color="auto"/>
        <w:right w:val="none" w:sz="0" w:space="0" w:color="auto"/>
      </w:divBdr>
    </w:div>
    <w:div w:id="2107339418">
      <w:bodyDiv w:val="1"/>
      <w:marLeft w:val="0"/>
      <w:marRight w:val="0"/>
      <w:marTop w:val="0"/>
      <w:marBottom w:val="0"/>
      <w:divBdr>
        <w:top w:val="none" w:sz="0" w:space="0" w:color="auto"/>
        <w:left w:val="none" w:sz="0" w:space="0" w:color="auto"/>
        <w:bottom w:val="none" w:sz="0" w:space="0" w:color="auto"/>
        <w:right w:val="none" w:sz="0" w:space="0" w:color="auto"/>
      </w:divBdr>
    </w:div>
    <w:div w:id="2112623994">
      <w:bodyDiv w:val="1"/>
      <w:marLeft w:val="0"/>
      <w:marRight w:val="0"/>
      <w:marTop w:val="0"/>
      <w:marBottom w:val="0"/>
      <w:divBdr>
        <w:top w:val="none" w:sz="0" w:space="0" w:color="auto"/>
        <w:left w:val="none" w:sz="0" w:space="0" w:color="auto"/>
        <w:bottom w:val="none" w:sz="0" w:space="0" w:color="auto"/>
        <w:right w:val="none" w:sz="0" w:space="0" w:color="auto"/>
      </w:divBdr>
    </w:div>
    <w:div w:id="2112822660">
      <w:bodyDiv w:val="1"/>
      <w:marLeft w:val="0"/>
      <w:marRight w:val="0"/>
      <w:marTop w:val="0"/>
      <w:marBottom w:val="0"/>
      <w:divBdr>
        <w:top w:val="none" w:sz="0" w:space="0" w:color="auto"/>
        <w:left w:val="none" w:sz="0" w:space="0" w:color="auto"/>
        <w:bottom w:val="none" w:sz="0" w:space="0" w:color="auto"/>
        <w:right w:val="none" w:sz="0" w:space="0" w:color="auto"/>
      </w:divBdr>
    </w:div>
    <w:div w:id="2117601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png"/><Relationship Id="rId26" Type="http://schemas.openxmlformats.org/officeDocument/2006/relationships/image" Target="media/image13.emf"/><Relationship Id="rId3" Type="http://schemas.openxmlformats.org/officeDocument/2006/relationships/customXml" Target="../customXml/item3.xml"/><Relationship Id="rId21" Type="http://schemas.openxmlformats.org/officeDocument/2006/relationships/image" Target="media/image8.e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emf"/><Relationship Id="rId25" Type="http://schemas.openxmlformats.org/officeDocument/2006/relationships/image" Target="media/image12.e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7.e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11.emf"/><Relationship Id="rId32"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10.emf"/><Relationship Id="rId28"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image" Target="media/image6.emf"/><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9.emf"/><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f94304df-64f8-48d7-8ac4-3ea19aeda2ec" ContentTypeId="0x010100ED7145BBC04CCB40AC911AE26B0C38A0" PreviousValue="false"/>
</file>

<file path=customXml/item2.xml><?xml version="1.0" encoding="utf-8"?>
<?mso-contentType ?>
<customXsn xmlns="http://schemas.microsoft.com/office/2006/metadata/customXsn">
  <xsnLocation/>
  <cached>True</cached>
  <openByDefault>False</openByDefault>
  <xsnScope/>
</customXsn>
</file>

<file path=customXml/item3.xml><?xml version="1.0" encoding="utf-8"?>
<p:properties xmlns:p="http://schemas.microsoft.com/office/2006/metadata/properties" xmlns:xsi="http://www.w3.org/2001/XMLSchema-instance" xmlns:pc="http://schemas.microsoft.com/office/infopath/2007/PartnerControls">
  <documentManagement>
    <Meeting xmlns="3f0e5643-ff07-46c8-a17c-e484543af528">Treasury Management Reports</Meeting>
    <Retention_x0020_End_x0020_Date xmlns="192ca7a6-3d4b-47cb-b28c-87149ab65281">2033-03-30T23:00:00+00:00</Retention_x0020_End_x0020_Dat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Word Document" ma:contentTypeID="0x010100ED7145BBC04CCB40AC911AE26B0C38A00046F2123A0653F145B67360EFDA3567EA" ma:contentTypeVersion="22" ma:contentTypeDescription="" ma:contentTypeScope="" ma:versionID="24d0c360fac15ecb6e7970fc18e96329">
  <xsd:schema xmlns:xsd="http://www.w3.org/2001/XMLSchema" xmlns:xs="http://www.w3.org/2001/XMLSchema" xmlns:p="http://schemas.microsoft.com/office/2006/metadata/properties" xmlns:ns2="192ca7a6-3d4b-47cb-b28c-87149ab65281" xmlns:ns3="3f0e5643-ff07-46c8-a17c-e484543af528" targetNamespace="http://schemas.microsoft.com/office/2006/metadata/properties" ma:root="true" ma:fieldsID="edacbfd8d57366609ae84c50f7e8881a" ns2:_="" ns3:_="">
    <xsd:import namespace="192ca7a6-3d4b-47cb-b28c-87149ab65281"/>
    <xsd:import namespace="3f0e5643-ff07-46c8-a17c-e484543af528"/>
    <xsd:element name="properties">
      <xsd:complexType>
        <xsd:sequence>
          <xsd:element name="documentManagement">
            <xsd:complexType>
              <xsd:all>
                <xsd:element ref="ns2:Retention_x0020_End_x0020_Date"/>
                <xsd:element ref="ns3:Meeting"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2ca7a6-3d4b-47cb-b28c-87149ab65281" elementFormDefault="qualified">
    <xsd:import namespace="http://schemas.microsoft.com/office/2006/documentManagement/types"/>
    <xsd:import namespace="http://schemas.microsoft.com/office/infopath/2007/PartnerControls"/>
    <xsd:element name="Retention_x0020_End_x0020_Date" ma:index="8" ma:displayName="Retention End Date" ma:format="DateOnly" ma:internalName="Retention_x0020_End_x0020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f0e5643-ff07-46c8-a17c-e484543af528" elementFormDefault="qualified">
    <xsd:import namespace="http://schemas.microsoft.com/office/2006/documentManagement/types"/>
    <xsd:import namespace="http://schemas.microsoft.com/office/infopath/2007/PartnerControls"/>
    <xsd:element name="Meeting" ma:index="9" nillable="true" ma:displayName="Meeting" ma:description="APRC&#10;CFA &amp; Steering Group&#10;Corporate Management Board&#10;" ma:format="Dropdown" ma:internalName="Meeting" ma:readOnly="false">
      <xsd:simpleType>
        <xsd:restriction base="dms:Choice">
          <xsd:enumeration value="Treasury Management Reports"/>
          <xsd:enumeration value="Budget Monitoring Reports"/>
          <xsd:enumeration value="Other Reports"/>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LongProperties xmlns="http://schemas.microsoft.com/office/2006/metadata/longProperties"/>
</file>

<file path=customXml/itemProps1.xml><?xml version="1.0" encoding="utf-8"?>
<ds:datastoreItem xmlns:ds="http://schemas.openxmlformats.org/officeDocument/2006/customXml" ds:itemID="{3DE3FFD6-6307-40EC-9620-E0F8EF9502B0}">
  <ds:schemaRefs>
    <ds:schemaRef ds:uri="Microsoft.SharePoint.Taxonomy.ContentTypeSync"/>
  </ds:schemaRefs>
</ds:datastoreItem>
</file>

<file path=customXml/itemProps2.xml><?xml version="1.0" encoding="utf-8"?>
<ds:datastoreItem xmlns:ds="http://schemas.openxmlformats.org/officeDocument/2006/customXml" ds:itemID="{82138366-7D89-4864-9604-75096002A3EC}">
  <ds:schemaRefs>
    <ds:schemaRef ds:uri="http://schemas.microsoft.com/office/2006/metadata/customXsn"/>
  </ds:schemaRefs>
</ds:datastoreItem>
</file>

<file path=customXml/itemProps3.xml><?xml version="1.0" encoding="utf-8"?>
<ds:datastoreItem xmlns:ds="http://schemas.openxmlformats.org/officeDocument/2006/customXml" ds:itemID="{25C9B2E0-A5D5-4FA8-8FC2-7117C38787D7}">
  <ds:schemaRefs>
    <ds:schemaRef ds:uri="http://purl.org/dc/dcmitype/"/>
    <ds:schemaRef ds:uri="http://schemas.microsoft.com/office/infopath/2007/PartnerControls"/>
    <ds:schemaRef ds:uri="http://purl.org/dc/terms/"/>
    <ds:schemaRef ds:uri="3f0e5643-ff07-46c8-a17c-e484543af528"/>
    <ds:schemaRef ds:uri="http://schemas.microsoft.com/office/2006/documentManagement/types"/>
    <ds:schemaRef ds:uri="http://purl.org/dc/elements/1.1/"/>
    <ds:schemaRef ds:uri="http://schemas.openxmlformats.org/package/2006/metadata/core-properties"/>
    <ds:schemaRef ds:uri="192ca7a6-3d4b-47cb-b28c-87149ab6528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0A6B64CC-E1EA-4C87-973E-B96521E7E7C2}">
  <ds:schemaRefs>
    <ds:schemaRef ds:uri="http://schemas.openxmlformats.org/officeDocument/2006/bibliography"/>
  </ds:schemaRefs>
</ds:datastoreItem>
</file>

<file path=customXml/itemProps5.xml><?xml version="1.0" encoding="utf-8"?>
<ds:datastoreItem xmlns:ds="http://schemas.openxmlformats.org/officeDocument/2006/customXml" ds:itemID="{D32969B9-E822-4E89-9C04-456CC2FD6D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2ca7a6-3d4b-47cb-b28c-87149ab65281"/>
    <ds:schemaRef ds:uri="3f0e5643-ff07-46c8-a17c-e484543af5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A51D618-E65C-42C6-A6EB-C4CF0433DBAA}">
  <ds:schemaRefs>
    <ds:schemaRef ds:uri="http://schemas.microsoft.com/sharepoint/v3/contenttype/forms"/>
  </ds:schemaRefs>
</ds:datastoreItem>
</file>

<file path=customXml/itemProps7.xml><?xml version="1.0" encoding="utf-8"?>
<ds:datastoreItem xmlns:ds="http://schemas.openxmlformats.org/officeDocument/2006/customXml" ds:itemID="{784ED983-AB38-4BCF-B293-38383D4D99E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35</Pages>
  <Words>11270</Words>
  <Characters>61517</Characters>
  <Application>Microsoft Office Word</Application>
  <DocSecurity>0</DocSecurity>
  <Lines>1782</Lines>
  <Paragraphs>608</Paragraphs>
  <ScaleCrop>false</ScaleCrop>
  <HeadingPairs>
    <vt:vector size="2" baseType="variant">
      <vt:variant>
        <vt:lpstr>Title</vt:lpstr>
      </vt:variant>
      <vt:variant>
        <vt:i4>1</vt:i4>
      </vt:variant>
    </vt:vector>
  </HeadingPairs>
  <TitlesOfParts>
    <vt:vector size="1" baseType="lpstr">
      <vt:lpstr/>
    </vt:vector>
  </TitlesOfParts>
  <Company>nycc</Company>
  <LinksUpToDate>false</LinksUpToDate>
  <CharactersWithSpaces>72510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nycc</dc:creator>
  <cp:keywords/>
  <cp:lastModifiedBy>Michael Porter</cp:lastModifiedBy>
  <cp:revision>3</cp:revision>
  <cp:lastPrinted>2019-02-19T11:58:00Z</cp:lastPrinted>
  <dcterms:created xsi:type="dcterms:W3CDTF">2026-02-24T15:35:00Z</dcterms:created>
  <dcterms:modified xsi:type="dcterms:W3CDTF">2026-02-24T16:20:00Z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0x010100ED7145BBC04CCB40AC911AE26B0C38A00046F2123A0653F145B67360EFDA3567EA</vt:lpwstr>
  </property>
  <property fmtid="{D5CDD505-2E9C-101B-9397-08002B2CF9AE}" pid="3" name="Order">
    <vt:lpwstr>198000.000000000</vt:lpwstr>
  </property>
  <property fmtid="{D5CDD505-2E9C-101B-9397-08002B2CF9AE}" pid="4" name="_dlc_DocId">
    <vt:lpwstr>2VRQN6JMA2XS-24-413</vt:lpwstr>
  </property>
  <property fmtid="{D5CDD505-2E9C-101B-9397-08002B2CF9AE}" pid="5" name="_dlc_DocIdItemGuid">
    <vt:lpwstr>6ae94874-61c1-47af-8287-fa2d337ed248</vt:lpwstr>
  </property>
  <property fmtid="{D5CDD505-2E9C-101B-9397-08002B2CF9AE}" pid="6" name="_dlc_DocIdUrl">
    <vt:lpwstr>https://intranet.northyorksfire.gov.uk/ws010/_layouts/DocIdRedir.aspx?ID=2VRQN6JMA2XS-24-413, 2VRQN6JMA2XS-24-413</vt:lpwstr>
  </property>
  <property fmtid="{D5CDD505-2E9C-101B-9397-08002B2CF9AE}" pid="7" name="TitusGUID">
    <vt:lpwstr>f3511e50-4390-4c38-8ed5-ab7a69d43f8a</vt:lpwstr>
  </property>
  <property fmtid="{D5CDD505-2E9C-101B-9397-08002B2CF9AE}" pid="8" name="display_urn:schemas-microsoft-com:office:office#Editor">
    <vt:lpwstr>Clare Godfrey</vt:lpwstr>
  </property>
  <property fmtid="{D5CDD505-2E9C-101B-9397-08002B2CF9AE}" pid="9" name="display_urn:schemas-microsoft-com:office:office#Author">
    <vt:lpwstr>Clare Godfrey</vt:lpwstr>
  </property>
  <property fmtid="{D5CDD505-2E9C-101B-9397-08002B2CF9AE}" pid="10" name="Classification">
    <vt:lpwstr>OFFICIAL</vt:lpwstr>
  </property>
  <property fmtid="{D5CDD505-2E9C-101B-9397-08002B2CF9AE}" pid="11" name="MSIP_Label_3c3f51d1-bd89-4ee9-a78a-494f589fb33f_Enabled">
    <vt:lpwstr>true</vt:lpwstr>
  </property>
  <property fmtid="{D5CDD505-2E9C-101B-9397-08002B2CF9AE}" pid="12" name="MSIP_Label_3c3f51d1-bd89-4ee9-a78a-494f589fb33f_SetDate">
    <vt:lpwstr>2025-02-13T11:47:29Z</vt:lpwstr>
  </property>
  <property fmtid="{D5CDD505-2E9C-101B-9397-08002B2CF9AE}" pid="13" name="MSIP_Label_3c3f51d1-bd89-4ee9-a78a-494f589fb33f_Method">
    <vt:lpwstr>Standard</vt:lpwstr>
  </property>
  <property fmtid="{D5CDD505-2E9C-101B-9397-08002B2CF9AE}" pid="14" name="MSIP_Label_3c3f51d1-bd89-4ee9-a78a-494f589fb33f_Name">
    <vt:lpwstr>OFFICIAL</vt:lpwstr>
  </property>
  <property fmtid="{D5CDD505-2E9C-101B-9397-08002B2CF9AE}" pid="15" name="MSIP_Label_3c3f51d1-bd89-4ee9-a78a-494f589fb33f_SiteId">
    <vt:lpwstr>2c84bc91-93af-476e-9721-cdad67cb3ead</vt:lpwstr>
  </property>
  <property fmtid="{D5CDD505-2E9C-101B-9397-08002B2CF9AE}" pid="16" name="MSIP_Label_3c3f51d1-bd89-4ee9-a78a-494f589fb33f_ActionId">
    <vt:lpwstr>ad9652c0-8cbc-4213-8796-f35b1fd1895e</vt:lpwstr>
  </property>
  <property fmtid="{D5CDD505-2E9C-101B-9397-08002B2CF9AE}" pid="17" name="MSIP_Label_3c3f51d1-bd89-4ee9-a78a-494f589fb33f_ContentBits">
    <vt:lpwstr>0</vt:lpwstr>
  </property>
</Properties>
</file>