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AC3FA4" w:rsidP="00772351" w:rsidRDefault="00AC3FA4" w14:paraId="3E12932C" w14:textId="7777777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How to Establish an </w:t>
      </w:r>
    </w:p>
    <w:p w:rsidR="003F5F58" w:rsidP="00772351" w:rsidRDefault="00AC3FA4" w14:paraId="1F381784" w14:textId="230626FE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Investment Readiness Facility</w:t>
      </w:r>
    </w:p>
    <w:p w:rsidR="003F5F58" w:rsidP="00772351" w:rsidRDefault="003F5F58" w14:paraId="6C19EF7E" w14:textId="6D659DE8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F5F58">
        <w:rPr>
          <w:rFonts w:ascii="Arial" w:hAnsi="Arial" w:cs="Arial"/>
          <w:b/>
          <w:bCs/>
          <w:noProof/>
          <w:sz w:val="32"/>
          <w:szCs w:val="32"/>
        </w:rPr>
        <w:drawing>
          <wp:inline distT="0" distB="0" distL="0" distR="0" wp14:anchorId="6E67B834" wp14:editId="1D6C66FC">
            <wp:extent cx="2733674" cy="412743"/>
            <wp:effectExtent l="0" t="0" r="0" b="6985"/>
            <wp:docPr id="11612523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25231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43548" cy="429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779D" w:rsidP="00D9779D" w:rsidRDefault="00D9779D" w14:paraId="5AA2EAE0" w14:textId="1CB3C75C">
      <w:pPr>
        <w:rPr>
          <w:rFonts w:ascii="Arial" w:hAnsi="Arial" w:cs="Arial"/>
          <w:b/>
          <w:bCs/>
          <w:sz w:val="32"/>
          <w:szCs w:val="32"/>
        </w:rPr>
      </w:pPr>
      <w:r w:rsidRPr="00AA74CE">
        <w:rPr>
          <w:rFonts w:ascii="Arial" w:hAnsi="Arial" w:cs="Arial"/>
          <w:b/>
          <w:bCs/>
          <w:sz w:val="32"/>
          <w:szCs w:val="32"/>
        </w:rPr>
        <w:t>1.0</w:t>
      </w:r>
      <w:r>
        <w:rPr>
          <w:rFonts w:ascii="Arial" w:hAnsi="Arial" w:cs="Arial"/>
          <w:b/>
          <w:bCs/>
          <w:sz w:val="32"/>
          <w:szCs w:val="32"/>
        </w:rPr>
        <w:t xml:space="preserve"> Programme Overview</w:t>
      </w:r>
    </w:p>
    <w:p w:rsidRPr="00577914" w:rsidR="00C24854" w:rsidP="4BC8644E" w:rsidRDefault="00D9779D" w14:paraId="0D7255D1" w14:textId="29CB46B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4BC8644E" w:rsidR="00D9779D">
        <w:rPr>
          <w:rFonts w:ascii="Arial" w:hAnsi="Arial" w:cs="Arial"/>
          <w:sz w:val="24"/>
          <w:szCs w:val="24"/>
        </w:rPr>
        <w:t xml:space="preserve">The </w:t>
      </w:r>
      <w:r w:rsidRPr="4BC8644E" w:rsidR="00AC3FA4">
        <w:rPr>
          <w:rFonts w:ascii="Arial" w:hAnsi="Arial" w:cs="Arial"/>
          <w:sz w:val="24"/>
          <w:szCs w:val="24"/>
        </w:rPr>
        <w:t xml:space="preserve">Investment Readiness Facility (IRF) </w:t>
      </w:r>
      <w:r w:rsidRPr="4BC8644E" w:rsidR="00C24854">
        <w:rPr>
          <w:rFonts w:ascii="Arial" w:hAnsi="Arial" w:cs="Arial"/>
          <w:sz w:val="24"/>
          <w:szCs w:val="24"/>
        </w:rPr>
        <w:t>will provide</w:t>
      </w:r>
      <w:r w:rsidRPr="4BC8644E" w:rsidR="00AC3FA4">
        <w:rPr>
          <w:rFonts w:ascii="Arial" w:hAnsi="Arial" w:cs="Arial"/>
          <w:sz w:val="24"/>
          <w:szCs w:val="24"/>
        </w:rPr>
        <w:t xml:space="preserve"> flexible, repayable finance for feasibility, structuring, and baseline data collection. Developed by the York and North Yorkshire Local Investment in Natural Capital (LINC) programme, it </w:t>
      </w:r>
      <w:r w:rsidRPr="4BC8644E" w:rsidR="00577914">
        <w:rPr>
          <w:rFonts w:ascii="Arial" w:hAnsi="Arial" w:cs="Arial"/>
          <w:sz w:val="24"/>
          <w:szCs w:val="24"/>
        </w:rPr>
        <w:t>addresses the barrier that many nature recovery projects are not yet investment ready, creating a structured pathway to investment readiness and meeting Buyers Club (BC) sourcing criteria.</w:t>
      </w:r>
      <w:r w:rsidRPr="4BC8644E" w:rsidR="00577914">
        <w:rPr>
          <w:rFonts w:ascii="Arial" w:hAnsi="Arial" w:cs="Arial"/>
          <w:sz w:val="24"/>
          <w:szCs w:val="24"/>
        </w:rPr>
        <w:t xml:space="preserve"> </w:t>
      </w:r>
      <w:r w:rsidRPr="4BC8644E" w:rsidR="00AC3FA4">
        <w:rPr>
          <w:rFonts w:ascii="Arial" w:hAnsi="Arial" w:cs="Arial"/>
          <w:sz w:val="24"/>
          <w:szCs w:val="24"/>
        </w:rPr>
        <w:t xml:space="preserve">Demonstration Pilot Projects will test </w:t>
      </w:r>
      <w:r w:rsidRPr="4BC8644E" w:rsidR="00C24854">
        <w:rPr>
          <w:rFonts w:ascii="Arial" w:hAnsi="Arial" w:cs="Arial"/>
          <w:sz w:val="24"/>
          <w:szCs w:val="24"/>
        </w:rPr>
        <w:t>the IRF’s technical feasibility</w:t>
      </w:r>
      <w:r w:rsidRPr="4BC8644E" w:rsidR="087A9743">
        <w:rPr>
          <w:rFonts w:ascii="Arial" w:hAnsi="Arial" w:cs="Arial"/>
          <w:sz w:val="24"/>
          <w:szCs w:val="24"/>
        </w:rPr>
        <w:t xml:space="preserve">, </w:t>
      </w:r>
      <w:r w:rsidRPr="4BC8644E" w:rsidR="00C24854">
        <w:rPr>
          <w:rFonts w:ascii="Arial" w:hAnsi="Arial" w:cs="Arial"/>
          <w:sz w:val="24"/>
          <w:szCs w:val="24"/>
        </w:rPr>
        <w:t>validate</w:t>
      </w:r>
      <w:r w:rsidRPr="4BC8644E" w:rsidR="00C24854">
        <w:rPr>
          <w:rFonts w:ascii="Arial" w:hAnsi="Arial" w:cs="Arial"/>
          <w:sz w:val="24"/>
          <w:szCs w:val="24"/>
        </w:rPr>
        <w:t xml:space="preserve"> the BC models, </w:t>
      </w:r>
      <w:r w:rsidRPr="4BC8644E" w:rsidR="4759F2D8">
        <w:rPr>
          <w:rFonts w:ascii="Arial" w:hAnsi="Arial" w:cs="Arial"/>
          <w:sz w:val="24"/>
          <w:szCs w:val="24"/>
        </w:rPr>
        <w:t xml:space="preserve">and </w:t>
      </w:r>
      <w:r w:rsidRPr="4BC8644E" w:rsidR="00C24854">
        <w:rPr>
          <w:rFonts w:ascii="Arial" w:hAnsi="Arial" w:cs="Arial"/>
          <w:sz w:val="24"/>
          <w:szCs w:val="24"/>
        </w:rPr>
        <w:t>support public sector leadership in shaping high-integrity nature markets</w:t>
      </w:r>
      <w:r w:rsidRPr="4BC8644E" w:rsidR="6464BB5B">
        <w:rPr>
          <w:rFonts w:ascii="Arial" w:hAnsi="Arial" w:cs="Arial"/>
          <w:sz w:val="24"/>
          <w:szCs w:val="24"/>
        </w:rPr>
        <w:t xml:space="preserve">, </w:t>
      </w:r>
      <w:r w:rsidRPr="4BC8644E" w:rsidR="00C24854">
        <w:rPr>
          <w:rFonts w:ascii="Arial" w:hAnsi="Arial" w:cs="Arial"/>
          <w:sz w:val="24"/>
          <w:szCs w:val="24"/>
        </w:rPr>
        <w:t>unlock</w:t>
      </w:r>
      <w:r w:rsidRPr="4BC8644E" w:rsidR="63A2333F">
        <w:rPr>
          <w:rFonts w:ascii="Arial" w:hAnsi="Arial" w:cs="Arial"/>
          <w:sz w:val="24"/>
          <w:szCs w:val="24"/>
        </w:rPr>
        <w:t>ing</w:t>
      </w:r>
      <w:r w:rsidRPr="4BC8644E" w:rsidR="00C24854">
        <w:rPr>
          <w:rFonts w:ascii="Arial" w:hAnsi="Arial" w:cs="Arial"/>
          <w:sz w:val="24"/>
          <w:szCs w:val="24"/>
        </w:rPr>
        <w:t xml:space="preserve"> investment into locally governed projects.</w:t>
      </w:r>
      <w:r w:rsidRPr="4BC8644E" w:rsidR="68E084CB">
        <w:rPr>
          <w:rFonts w:ascii="Arial" w:hAnsi="Arial" w:cs="Arial"/>
          <w:sz w:val="24"/>
          <w:szCs w:val="24"/>
        </w:rPr>
        <w:t xml:space="preserve"> The IRF forms one of three mechanisms within the Market Operator model, alongside the Buyers Club and Demonstration Pilot Projects, which together provide the coor</w:t>
      </w:r>
      <w:r w:rsidRPr="4BC8644E" w:rsidR="786EA597">
        <w:rPr>
          <w:rFonts w:ascii="Arial" w:hAnsi="Arial" w:cs="Arial"/>
          <w:sz w:val="24"/>
          <w:szCs w:val="24"/>
        </w:rPr>
        <w:t>dinated structure for procurement, investment readiness, and project mobilisation.</w:t>
      </w:r>
    </w:p>
    <w:p w:rsidRPr="00C24854" w:rsidR="00D9779D" w:rsidP="00C24854" w:rsidRDefault="00D9779D" w14:paraId="08F42876" w14:textId="075CC806">
      <w:pPr>
        <w:rPr>
          <w:rFonts w:ascii="Arial" w:hAnsi="Arial" w:cs="Arial"/>
          <w:b/>
          <w:bCs/>
          <w:sz w:val="32"/>
          <w:szCs w:val="32"/>
        </w:rPr>
      </w:pPr>
      <w:r w:rsidRPr="00C24854">
        <w:rPr>
          <w:rFonts w:ascii="Arial" w:hAnsi="Arial" w:cs="Arial"/>
          <w:b/>
          <w:bCs/>
          <w:sz w:val="32"/>
          <w:szCs w:val="32"/>
        </w:rPr>
        <w:t>2.0 Programme Aim</w:t>
      </w:r>
    </w:p>
    <w:p w:rsidR="00C24854" w:rsidP="00C04C1B" w:rsidRDefault="00C04C1B" w14:paraId="5FEBB0D6" w14:textId="253723F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Enable </w:t>
      </w:r>
      <w:r w:rsidR="00C24854">
        <w:rPr>
          <w:rFonts w:ascii="Arial" w:hAnsi="Arial" w:cs="Arial"/>
          <w:sz w:val="24"/>
          <w:szCs w:val="24"/>
        </w:rPr>
        <w:t>nature recovery projects to achieve investment readiness</w:t>
      </w:r>
      <w:r w:rsidR="002A3A66">
        <w:rPr>
          <w:rFonts w:ascii="Arial" w:hAnsi="Arial" w:cs="Arial"/>
          <w:sz w:val="24"/>
          <w:szCs w:val="24"/>
        </w:rPr>
        <w:t>.</w:t>
      </w:r>
    </w:p>
    <w:p w:rsidR="00C24854" w:rsidP="00C04C1B" w:rsidRDefault="00577914" w14:paraId="2781534A" w14:textId="4F6B5927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Detail f</w:t>
      </w:r>
      <w:r w:rsidR="00C24854">
        <w:rPr>
          <w:rFonts w:ascii="Arial" w:hAnsi="Arial" w:cs="Arial"/>
          <w:sz w:val="24"/>
          <w:szCs w:val="24"/>
        </w:rPr>
        <w:t xml:space="preserve">unding </w:t>
      </w:r>
      <w:r>
        <w:rPr>
          <w:rFonts w:ascii="Arial" w:hAnsi="Arial" w:cs="Arial"/>
          <w:sz w:val="24"/>
          <w:szCs w:val="24"/>
        </w:rPr>
        <w:t>requirements</w:t>
      </w:r>
      <w:r w:rsidR="00C24854">
        <w:rPr>
          <w:rFonts w:ascii="Arial" w:hAnsi="Arial" w:cs="Arial"/>
          <w:sz w:val="24"/>
          <w:szCs w:val="24"/>
        </w:rPr>
        <w:t xml:space="preserve"> to the Buyers Club, potential buyers and wider investors</w:t>
      </w:r>
      <w:r w:rsidR="002A3A66">
        <w:rPr>
          <w:rFonts w:ascii="Arial" w:hAnsi="Arial" w:cs="Arial"/>
          <w:sz w:val="24"/>
          <w:szCs w:val="24"/>
        </w:rPr>
        <w:t>.</w:t>
      </w:r>
    </w:p>
    <w:p w:rsidR="00C24854" w:rsidP="00C04C1B" w:rsidRDefault="00C24854" w14:paraId="775018D1" w14:textId="6447FD44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Bridge local ambition with investor confidence, strengthening pathways to finance</w:t>
      </w:r>
      <w:r w:rsidR="002A3A66">
        <w:rPr>
          <w:rFonts w:ascii="Arial" w:hAnsi="Arial" w:cs="Arial"/>
          <w:sz w:val="24"/>
          <w:szCs w:val="24"/>
        </w:rPr>
        <w:t>.</w:t>
      </w:r>
    </w:p>
    <w:p w:rsidRPr="002A3A66" w:rsidR="00C04C1B" w:rsidP="00C24854" w:rsidRDefault="00C24854" w14:paraId="158279AA" w14:textId="5C4B89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A3A66">
        <w:rPr>
          <w:rFonts w:ascii="Arial" w:hAnsi="Arial" w:cs="Arial"/>
          <w:sz w:val="24"/>
          <w:szCs w:val="24"/>
        </w:rPr>
        <w:t>Complement regional strategies for nature recovery ensuring alignment with wider climate goals</w:t>
      </w:r>
      <w:r w:rsidRPr="002A3A66" w:rsidR="002A3A66">
        <w:rPr>
          <w:rFonts w:ascii="Arial" w:hAnsi="Arial" w:cs="Arial"/>
          <w:sz w:val="24"/>
          <w:szCs w:val="24"/>
        </w:rPr>
        <w:t>.</w:t>
      </w:r>
    </w:p>
    <w:p w:rsidR="00577914" w:rsidP="009B0C80" w:rsidRDefault="00D9779D" w14:paraId="4A1894F2" w14:textId="7777777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>3.0 Key steps towards (activity)</w:t>
      </w:r>
      <w:r w:rsidRPr="00496EAC" w:rsidR="00496EAC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577914" w:rsidP="00577914" w:rsidRDefault="00577914" w14:paraId="533D85BD" w14:textId="521A3AB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Define the IRFG’s scope, governance and repayment framework</w:t>
      </w:r>
      <w:r w:rsidR="002A3A66">
        <w:rPr>
          <w:rFonts w:ascii="Arial" w:hAnsi="Arial" w:cs="Arial"/>
          <w:sz w:val="24"/>
          <w:szCs w:val="24"/>
        </w:rPr>
        <w:t>.</w:t>
      </w:r>
    </w:p>
    <w:p w:rsidR="00577914" w:rsidP="00577914" w:rsidRDefault="00577914" w14:paraId="5895759C" w14:textId="534B59E4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Secure baseline data and feasibility evidence to underpin the model</w:t>
      </w:r>
      <w:r w:rsidR="002A3A66">
        <w:rPr>
          <w:rFonts w:ascii="Arial" w:hAnsi="Arial" w:cs="Arial"/>
          <w:sz w:val="24"/>
          <w:szCs w:val="24"/>
        </w:rPr>
        <w:t>.</w:t>
      </w:r>
    </w:p>
    <w:p w:rsidR="00577914" w:rsidP="00577914" w:rsidRDefault="00577914" w14:paraId="2F5A60E4" w14:textId="0CC470C0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Develop legal and financial structures to ensure credibility</w:t>
      </w:r>
      <w:r w:rsidR="002A3A66">
        <w:rPr>
          <w:rFonts w:ascii="Arial" w:hAnsi="Arial" w:cs="Arial"/>
          <w:sz w:val="24"/>
          <w:szCs w:val="24"/>
        </w:rPr>
        <w:t>.</w:t>
      </w:r>
    </w:p>
    <w:p w:rsidR="00577914" w:rsidP="00577914" w:rsidRDefault="00577914" w14:paraId="557E34AD" w14:textId="67261EF5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Align IRF design with the BC criteria and regional priorities</w:t>
      </w:r>
      <w:r w:rsidR="002A3A66">
        <w:rPr>
          <w:rFonts w:ascii="Arial" w:hAnsi="Arial" w:cs="Arial"/>
          <w:sz w:val="24"/>
          <w:szCs w:val="24"/>
        </w:rPr>
        <w:t>.</w:t>
      </w:r>
    </w:p>
    <w:p w:rsidRPr="002A3A66" w:rsidR="009B0C80" w:rsidP="009B0C80" w:rsidRDefault="00577914" w14:paraId="6CF6AE52" w14:textId="3ADCDF9E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4"/>
          <w:szCs w:val="24"/>
        </w:rPr>
      </w:pPr>
      <w:r w:rsidRPr="002A3A66">
        <w:rPr>
          <w:rFonts w:ascii="Arial" w:hAnsi="Arial" w:cs="Arial"/>
          <w:sz w:val="24"/>
          <w:szCs w:val="24"/>
        </w:rPr>
        <w:t>Launch Demonstration Pilot Projects to test technical feasibility and validate the BC models.</w:t>
      </w:r>
    </w:p>
    <w:p w:rsidR="00DE5995" w:rsidRDefault="00D9779D" w14:paraId="2B51D8EB" w14:textId="4578BD42">
      <w:pPr>
        <w:rPr>
          <w:rFonts w:ascii="Arial" w:hAnsi="Arial" w:cs="Arial"/>
          <w:b/>
          <w:bCs/>
          <w:sz w:val="32"/>
          <w:szCs w:val="32"/>
        </w:rPr>
      </w:pPr>
      <w:r w:rsidRPr="000469F7">
        <w:rPr>
          <w:rFonts w:ascii="Arial" w:hAnsi="Arial" w:cs="Arial"/>
          <w:b/>
          <w:bCs/>
          <w:sz w:val="32"/>
          <w:szCs w:val="32"/>
        </w:rPr>
        <w:t>4.0 Key Success Factors for Conducting</w:t>
      </w:r>
    </w:p>
    <w:p w:rsidRPr="00053598" w:rsidR="00053598" w:rsidRDefault="00577914" w14:paraId="7CBCA0E8" w14:textId="63722EF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establish and operate the IRF effectively, success will depend on: </w:t>
      </w:r>
      <w:r w:rsidRPr="00053598" w:rsidR="00053598">
        <w:rPr>
          <w:rFonts w:ascii="Arial" w:hAnsi="Arial" w:cs="Arial"/>
          <w:sz w:val="24"/>
          <w:szCs w:val="24"/>
        </w:rPr>
        <w:t>-</w:t>
      </w:r>
    </w:p>
    <w:p w:rsidR="00577914" w:rsidP="00EC6DDF" w:rsidRDefault="00577914" w14:paraId="369EBE24" w14:textId="3C7E9976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Strong local governance and stakeholder engagement to ensure credibility and trust</w:t>
      </w:r>
      <w:r w:rsidR="002A3A66">
        <w:rPr>
          <w:rFonts w:ascii="Arial" w:hAnsi="Arial" w:cs="Arial"/>
          <w:sz w:val="24"/>
          <w:szCs w:val="24"/>
        </w:rPr>
        <w:t>.</w:t>
      </w:r>
    </w:p>
    <w:p w:rsidR="00577914" w:rsidP="00EC6DDF" w:rsidRDefault="00577914" w14:paraId="6554A917" w14:textId="5FD2126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Transparent financial modelling and repayment framework so BC members can assess risk confidently</w:t>
      </w:r>
      <w:r w:rsidR="002A3A66">
        <w:rPr>
          <w:rFonts w:ascii="Arial" w:hAnsi="Arial" w:cs="Arial"/>
          <w:sz w:val="24"/>
          <w:szCs w:val="24"/>
        </w:rPr>
        <w:t>.</w:t>
      </w:r>
    </w:p>
    <w:p w:rsidR="00577914" w:rsidP="00EC6DDF" w:rsidRDefault="00577914" w14:paraId="7CB7FFDB" w14:textId="19186DF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Clear detailing of outcomes and benefits to demonstrate the value of nature recovery projects</w:t>
      </w:r>
      <w:r w:rsidR="002A3A66">
        <w:rPr>
          <w:rFonts w:ascii="Arial" w:hAnsi="Arial" w:cs="Arial"/>
          <w:sz w:val="24"/>
          <w:szCs w:val="24"/>
        </w:rPr>
        <w:t>.</w:t>
      </w:r>
    </w:p>
    <w:p w:rsidR="00577914" w:rsidP="00EC6DDF" w:rsidRDefault="00577914" w14:paraId="6F8E5867" w14:textId="593F0B7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Processes designed for replicability across different project contexts, supporting wider adoption</w:t>
      </w:r>
      <w:r w:rsidR="002A3A66">
        <w:rPr>
          <w:rFonts w:ascii="Arial" w:hAnsi="Arial" w:cs="Arial"/>
          <w:sz w:val="24"/>
          <w:szCs w:val="24"/>
        </w:rPr>
        <w:t>.</w:t>
      </w:r>
    </w:p>
    <w:p w:rsidR="00577914" w:rsidP="00EC6DDF" w:rsidRDefault="00577914" w14:paraId="1C1FC6B0" w14:textId="62A8E98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Early testing through Demonstration Pilot Projects to refine the IRF’s design and validate the BC model</w:t>
      </w:r>
      <w:r w:rsidR="002A3A66">
        <w:rPr>
          <w:rFonts w:ascii="Arial" w:hAnsi="Arial" w:cs="Arial"/>
          <w:sz w:val="24"/>
          <w:szCs w:val="24"/>
        </w:rPr>
        <w:t>.</w:t>
      </w:r>
    </w:p>
    <w:p w:rsidRPr="000469F7" w:rsidR="00D9779D" w:rsidRDefault="00D9779D" w14:paraId="0379411F" w14:textId="7899D207">
      <w:pPr>
        <w:rPr>
          <w:rFonts w:ascii="Arial" w:hAnsi="Arial" w:cs="Arial"/>
          <w:b/>
          <w:bCs/>
          <w:sz w:val="32"/>
          <w:szCs w:val="32"/>
        </w:rPr>
      </w:pPr>
      <w:r w:rsidRPr="000469F7">
        <w:rPr>
          <w:rFonts w:ascii="Arial" w:hAnsi="Arial" w:cs="Arial"/>
          <w:b/>
          <w:bCs/>
          <w:sz w:val="32"/>
          <w:szCs w:val="32"/>
        </w:rPr>
        <w:t>5.0 Common Challenges and how to overcome these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1"/>
        <w:gridCol w:w="4525"/>
      </w:tblGrid>
      <w:tr w:rsidR="00772351" w:rsidTr="002C3C3F" w14:paraId="1880BBCD" w14:textId="77777777">
        <w:tc>
          <w:tcPr>
            <w:tcW w:w="4491" w:type="dxa"/>
            <w:shd w:val="clear" w:color="auto" w:fill="156082" w:themeFill="accent1"/>
          </w:tcPr>
          <w:p w:rsidRPr="00632443" w:rsidR="00772351" w:rsidP="00772351" w:rsidRDefault="00772351" w14:paraId="117E5B7F" w14:textId="189B201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63244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Challenge</w:t>
            </w:r>
          </w:p>
        </w:tc>
        <w:tc>
          <w:tcPr>
            <w:tcW w:w="4525" w:type="dxa"/>
            <w:shd w:val="clear" w:color="auto" w:fill="156082" w:themeFill="accent1"/>
          </w:tcPr>
          <w:p w:rsidRPr="00632443" w:rsidR="00772351" w:rsidRDefault="000469F7" w14:paraId="3788DC85" w14:textId="1A29091E">
            <w:pP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63244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Recommended Action</w:t>
            </w:r>
          </w:p>
        </w:tc>
      </w:tr>
      <w:tr w:rsidR="00BA369E" w:rsidTr="002C3C3F" w14:paraId="095612B4" w14:textId="77777777">
        <w:tc>
          <w:tcPr>
            <w:tcW w:w="4491" w:type="dxa"/>
          </w:tcPr>
          <w:p w:rsidR="002C3C3F" w:rsidRDefault="002C3C3F" w14:paraId="71EF9CCC" w14:textId="77777777">
            <w:pPr>
              <w:rPr>
                <w:rFonts w:ascii="Arial" w:hAnsi="Arial" w:cs="Arial"/>
                <w:b/>
                <w:bCs/>
              </w:rPr>
            </w:pPr>
          </w:p>
          <w:p w:rsidRPr="00B37E0F" w:rsidR="00BA369E" w:rsidRDefault="00BA369E" w14:paraId="562122BD" w14:textId="4515D740">
            <w:pPr>
              <w:rPr>
                <w:rFonts w:ascii="Arial" w:hAnsi="Arial" w:cs="Arial"/>
                <w:b/>
                <w:bCs/>
              </w:rPr>
            </w:pPr>
            <w:r w:rsidRPr="00B37E0F">
              <w:rPr>
                <w:rFonts w:ascii="Arial" w:hAnsi="Arial" w:cs="Arial"/>
                <w:b/>
                <w:bCs/>
              </w:rPr>
              <w:t xml:space="preserve">Unfamiliarity with </w:t>
            </w:r>
            <w:r w:rsidR="002C3C3F">
              <w:rPr>
                <w:rFonts w:ascii="Arial" w:hAnsi="Arial" w:cs="Arial"/>
                <w:b/>
                <w:bCs/>
              </w:rPr>
              <w:t>IRF purpose</w:t>
            </w:r>
          </w:p>
        </w:tc>
        <w:tc>
          <w:tcPr>
            <w:tcW w:w="4525" w:type="dxa"/>
          </w:tcPr>
          <w:p w:rsidR="002C3C3F" w:rsidRDefault="002C3C3F" w14:paraId="0281E29F" w14:textId="77777777">
            <w:pPr>
              <w:rPr>
                <w:rFonts w:ascii="Arial" w:hAnsi="Arial" w:cs="Arial"/>
              </w:rPr>
            </w:pPr>
          </w:p>
          <w:p w:rsidRPr="00B37E0F" w:rsidR="002C3C3F" w:rsidP="002C3C3F" w:rsidRDefault="002C3C3F" w14:paraId="503E83E0" w14:textId="5DCADA3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Develop clear briefings and guidance to explain the IRF’s role and scope.</w:t>
            </w:r>
          </w:p>
        </w:tc>
      </w:tr>
      <w:tr w:rsidR="00772351" w:rsidTr="002C3C3F" w14:paraId="0ACFF511" w14:textId="77777777">
        <w:tc>
          <w:tcPr>
            <w:tcW w:w="4491" w:type="dxa"/>
          </w:tcPr>
          <w:p w:rsidR="002C3C3F" w:rsidRDefault="002C3C3F" w14:paraId="2CD5C3A0" w14:textId="77777777">
            <w:pPr>
              <w:rPr>
                <w:rFonts w:ascii="Arial" w:hAnsi="Arial" w:cs="Arial"/>
                <w:b/>
                <w:bCs/>
              </w:rPr>
            </w:pPr>
          </w:p>
          <w:p w:rsidRPr="00B37E0F" w:rsidR="00772351" w:rsidRDefault="000469F7" w14:paraId="1DB16704" w14:textId="105F2331">
            <w:pPr>
              <w:rPr>
                <w:rFonts w:ascii="Arial" w:hAnsi="Arial" w:cs="Arial"/>
                <w:b/>
                <w:bCs/>
              </w:rPr>
            </w:pPr>
            <w:r w:rsidRPr="00B37E0F">
              <w:rPr>
                <w:rFonts w:ascii="Arial" w:hAnsi="Arial" w:cs="Arial"/>
                <w:b/>
                <w:bCs/>
              </w:rPr>
              <w:t>L</w:t>
            </w:r>
            <w:r w:rsidR="002C3C3F">
              <w:rPr>
                <w:rFonts w:ascii="Arial" w:hAnsi="Arial" w:cs="Arial"/>
                <w:b/>
                <w:bCs/>
              </w:rPr>
              <w:t>imited understanding of the BC concept</w:t>
            </w:r>
          </w:p>
        </w:tc>
        <w:tc>
          <w:tcPr>
            <w:tcW w:w="4525" w:type="dxa"/>
          </w:tcPr>
          <w:p w:rsidR="002C3C3F" w:rsidRDefault="002C3C3F" w14:paraId="5C0BA06A" w14:textId="77777777">
            <w:pPr>
              <w:rPr>
                <w:rFonts w:ascii="Arial" w:hAnsi="Arial" w:cs="Arial"/>
              </w:rPr>
            </w:pPr>
          </w:p>
          <w:p w:rsidRPr="00B37E0F" w:rsidR="002C3C3F" w:rsidP="002C3C3F" w:rsidRDefault="002C3C3F" w14:paraId="39C9B921" w14:textId="1E9555C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Provide simple, accessible materials to show how the IRF supports BC development.</w:t>
            </w:r>
          </w:p>
        </w:tc>
      </w:tr>
      <w:tr w:rsidR="00772351" w:rsidTr="002C3C3F" w14:paraId="25D1AFE9" w14:textId="77777777">
        <w:tc>
          <w:tcPr>
            <w:tcW w:w="4491" w:type="dxa"/>
          </w:tcPr>
          <w:p w:rsidR="002C3C3F" w:rsidRDefault="002C3C3F" w14:paraId="7104F3A6" w14:textId="77777777">
            <w:pPr>
              <w:rPr>
                <w:rFonts w:ascii="Arial" w:hAnsi="Arial" w:cs="Arial"/>
                <w:b/>
                <w:bCs/>
              </w:rPr>
            </w:pPr>
          </w:p>
          <w:p w:rsidRPr="00B37E0F" w:rsidR="00772351" w:rsidRDefault="002C3C3F" w14:paraId="66F94AFD" w14:textId="1FBEAD2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Data gaps for project investment readiness</w:t>
            </w:r>
          </w:p>
        </w:tc>
        <w:tc>
          <w:tcPr>
            <w:tcW w:w="4525" w:type="dxa"/>
          </w:tcPr>
          <w:p w:rsidR="002C3C3F" w:rsidRDefault="002C3C3F" w14:paraId="47B1A074" w14:textId="77777777">
            <w:pPr>
              <w:rPr>
                <w:rFonts w:ascii="Arial" w:hAnsi="Arial" w:cs="Arial"/>
              </w:rPr>
            </w:pPr>
          </w:p>
          <w:p w:rsidRPr="00B37E0F" w:rsidR="002C3C3F" w:rsidP="002C3C3F" w:rsidRDefault="002C3C3F" w14:paraId="04BEC67F" w14:textId="6208AD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Phase data collection and commission external expertise to strengthen evidence base.</w:t>
            </w:r>
          </w:p>
        </w:tc>
      </w:tr>
      <w:tr w:rsidR="00B37E0F" w:rsidTr="002C3C3F" w14:paraId="419EF4A9" w14:textId="77777777">
        <w:tc>
          <w:tcPr>
            <w:tcW w:w="4491" w:type="dxa"/>
          </w:tcPr>
          <w:p w:rsidR="002C3C3F" w:rsidRDefault="002C3C3F" w14:paraId="63DEB22C" w14:textId="77777777">
            <w:pPr>
              <w:rPr>
                <w:rFonts w:ascii="Arial" w:hAnsi="Arial" w:cs="Arial"/>
                <w:b/>
                <w:bCs/>
              </w:rPr>
            </w:pPr>
          </w:p>
          <w:p w:rsidRPr="00B37E0F" w:rsidR="00B37E0F" w:rsidRDefault="002C3C3F" w14:paraId="1CED0264" w14:textId="4E9FCF4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Complex legal/financial structuring</w:t>
            </w:r>
          </w:p>
        </w:tc>
        <w:tc>
          <w:tcPr>
            <w:tcW w:w="4525" w:type="dxa"/>
          </w:tcPr>
          <w:p w:rsidR="002C3C3F" w:rsidRDefault="002C3C3F" w14:paraId="519E8FCB" w14:textId="77777777">
            <w:pPr>
              <w:rPr>
                <w:rFonts w:ascii="Arial" w:hAnsi="Arial" w:cs="Arial"/>
              </w:rPr>
            </w:pPr>
          </w:p>
          <w:p w:rsidRPr="00B37E0F" w:rsidR="002C3C3F" w:rsidP="002C3C3F" w:rsidRDefault="002C3C3F" w14:paraId="4B817CD6" w14:textId="01E68B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Engage specialist advisory support early to design credible repayment frameworks.</w:t>
            </w:r>
          </w:p>
        </w:tc>
      </w:tr>
      <w:tr w:rsidR="00772351" w:rsidTr="002C3C3F" w14:paraId="1D3984C7" w14:textId="77777777">
        <w:tc>
          <w:tcPr>
            <w:tcW w:w="4491" w:type="dxa"/>
          </w:tcPr>
          <w:p w:rsidR="002C3C3F" w:rsidRDefault="002C3C3F" w14:paraId="7AA72160" w14:textId="77777777">
            <w:pPr>
              <w:rPr>
                <w:rFonts w:ascii="Arial" w:hAnsi="Arial" w:cs="Arial"/>
                <w:b/>
                <w:bCs/>
              </w:rPr>
            </w:pPr>
          </w:p>
          <w:p w:rsidRPr="00B37E0F" w:rsidR="00772351" w:rsidRDefault="002C3C3F" w14:paraId="785632D7" w14:textId="71663FB6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Securing stakeholder confidence</w:t>
            </w:r>
          </w:p>
        </w:tc>
        <w:tc>
          <w:tcPr>
            <w:tcW w:w="4525" w:type="dxa"/>
          </w:tcPr>
          <w:p w:rsidR="002C3C3F" w:rsidRDefault="002C3C3F" w14:paraId="230E8B5C" w14:textId="77777777">
            <w:pPr>
              <w:rPr>
                <w:rFonts w:ascii="Arial" w:hAnsi="Arial" w:cs="Arial"/>
              </w:rPr>
            </w:pPr>
          </w:p>
          <w:p w:rsidRPr="00B37E0F" w:rsidR="002C3C3F" w:rsidP="002C3C3F" w:rsidRDefault="002C3C3F" w14:paraId="1DE960F6" w14:textId="048E15E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Demonstrate governance credibility and transparency in the IRF design.</w:t>
            </w:r>
          </w:p>
        </w:tc>
      </w:tr>
    </w:tbl>
    <w:p w:rsidR="00D9779D" w:rsidRDefault="00D9779D" w14:paraId="74E9E2F9" w14:textId="051359C1">
      <w:pPr>
        <w:rPr>
          <w:rFonts w:ascii="Arial" w:hAnsi="Arial" w:cs="Arial"/>
          <w:b/>
          <w:bCs/>
          <w:sz w:val="32"/>
          <w:szCs w:val="32"/>
        </w:rPr>
      </w:pPr>
      <w:r w:rsidRPr="000469F7">
        <w:rPr>
          <w:rFonts w:ascii="Arial" w:hAnsi="Arial" w:cs="Arial"/>
          <w:b/>
          <w:bCs/>
          <w:sz w:val="32"/>
          <w:szCs w:val="32"/>
        </w:rPr>
        <w:t>6.0 Learning Points</w:t>
      </w:r>
    </w:p>
    <w:p w:rsidR="002C3C3F" w:rsidP="002C3C3F" w:rsidRDefault="002C3C3F" w14:paraId="18420DC4" w14:textId="121F2EA3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74CB48FD" w:rsidR="002C3C3F">
        <w:rPr>
          <w:rFonts w:ascii="Arial" w:hAnsi="Arial" w:cs="Arial"/>
          <w:sz w:val="24"/>
          <w:szCs w:val="24"/>
        </w:rPr>
        <w:t xml:space="preserve">The IRF will overcome the barrier </w:t>
      </w:r>
      <w:r w:rsidRPr="74CB48FD" w:rsidR="161D1ECD">
        <w:rPr>
          <w:rFonts w:ascii="Arial" w:hAnsi="Arial" w:cs="Arial"/>
          <w:sz w:val="24"/>
          <w:szCs w:val="24"/>
        </w:rPr>
        <w:t>of</w:t>
      </w:r>
      <w:r w:rsidRPr="74CB48FD" w:rsidR="002C3C3F">
        <w:rPr>
          <w:rFonts w:ascii="Arial" w:hAnsi="Arial" w:cs="Arial"/>
          <w:sz w:val="24"/>
          <w:szCs w:val="24"/>
        </w:rPr>
        <w:t xml:space="preserve"> projects not </w:t>
      </w:r>
      <w:r w:rsidRPr="74CB48FD" w:rsidR="0A83E509">
        <w:rPr>
          <w:rFonts w:ascii="Arial" w:hAnsi="Arial" w:cs="Arial"/>
          <w:sz w:val="24"/>
          <w:szCs w:val="24"/>
        </w:rPr>
        <w:t xml:space="preserve">being </w:t>
      </w:r>
      <w:r w:rsidRPr="74CB48FD" w:rsidR="002C3C3F">
        <w:rPr>
          <w:rFonts w:ascii="Arial" w:hAnsi="Arial" w:cs="Arial"/>
          <w:sz w:val="24"/>
          <w:szCs w:val="24"/>
        </w:rPr>
        <w:t>investment ready</w:t>
      </w:r>
      <w:r w:rsidRPr="74CB48FD" w:rsidR="68435C3D">
        <w:rPr>
          <w:rFonts w:ascii="Arial" w:hAnsi="Arial" w:cs="Arial"/>
          <w:sz w:val="24"/>
          <w:szCs w:val="24"/>
        </w:rPr>
        <w:t>, enabling locally governed nature recovery opportunities to attract investment.</w:t>
      </w:r>
    </w:p>
    <w:p w:rsidR="002C3C3F" w:rsidP="002C3C3F" w:rsidRDefault="002C3C3F" w14:paraId="63101CA2" w14:textId="405A66F3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Public authority leadership will be key to credibility and trust.</w:t>
      </w:r>
    </w:p>
    <w:p w:rsidR="002C3C3F" w:rsidP="002C3C3F" w:rsidRDefault="002C3C3F" w14:paraId="2B9ECBD4" w14:textId="7C8A08B7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Demonstration Pilot Projects will test feasibility and validate the BC models.</w:t>
      </w:r>
    </w:p>
    <w:p w:rsidR="002C3C3F" w:rsidP="002C3C3F" w:rsidRDefault="002C3C3F" w14:paraId="201E1B39" w14:textId="3D7810ED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Detailing funding requirements will strengthen engagement with the BC members.</w:t>
      </w:r>
    </w:p>
    <w:p w:rsidRPr="002C3C3F" w:rsidR="002C3C3F" w:rsidP="002C3C3F" w:rsidRDefault="002C3C3F" w14:paraId="7F2F72AB" w14:textId="5146A79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Establishing the IRF will support the BC development by creating</w:t>
      </w:r>
      <w:r w:rsidR="002A3A6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pipeline of investible projects.</w:t>
      </w:r>
    </w:p>
    <w:p w:rsidR="00D9779D" w:rsidRDefault="00D9779D" w14:paraId="6FD66114" w14:textId="4A711FD5">
      <w:pPr>
        <w:rPr>
          <w:rFonts w:ascii="Arial" w:hAnsi="Arial" w:cs="Arial"/>
          <w:b/>
          <w:bCs/>
          <w:sz w:val="32"/>
          <w:szCs w:val="32"/>
        </w:rPr>
      </w:pPr>
      <w:r w:rsidRPr="000469F7">
        <w:rPr>
          <w:rFonts w:ascii="Arial" w:hAnsi="Arial" w:cs="Arial"/>
          <w:b/>
          <w:bCs/>
          <w:sz w:val="32"/>
          <w:szCs w:val="32"/>
        </w:rPr>
        <w:t>7.0 Useful links</w:t>
      </w:r>
    </w:p>
    <w:p w:rsidR="00810D11" w:rsidRDefault="002A3A66" w14:paraId="706EE27F" w14:textId="16B7FB59">
      <w:hyperlink w:history="1" r:id="rId11">
        <w:r w:rsidRPr="00810D11" w:rsidR="00810D11">
          <w:rPr>
            <w:color w:val="0000FF"/>
            <w:u w:val="single"/>
          </w:rPr>
          <w:t>Investment Readiness Toolkit</w:t>
        </w:r>
      </w:hyperlink>
    </w:p>
    <w:p w:rsidR="00810D11" w:rsidRDefault="002A3A66" w14:paraId="6A08093A" w14:textId="0872A879">
      <w:hyperlink w:history="1" r:id="rId12">
        <w:r w:rsidRPr="00810D11" w:rsidR="00810D11">
          <w:rPr>
            <w:color w:val="0000FF"/>
            <w:u w:val="single"/>
          </w:rPr>
          <w:t>Local Investment in Natural Capital &gt; York and North Yorkshire Combined Authority</w:t>
        </w:r>
      </w:hyperlink>
    </w:p>
    <w:p w:rsidR="00810D11" w:rsidRDefault="002A3A66" w14:paraId="0200A45B" w14:textId="5F2BB392">
      <w:hyperlink w:history="1" r:id="rId13">
        <w:r w:rsidRPr="00810D11" w:rsidR="00810D11">
          <w:rPr>
            <w:color w:val="0000FF"/>
            <w:u w:val="single"/>
          </w:rPr>
          <w:t>Climate change strategy 2023 to 2030 | North Yorkshire Council</w:t>
        </w:r>
      </w:hyperlink>
    </w:p>
    <w:p w:rsidR="00810D11" w:rsidRDefault="002A3A66" w14:paraId="779BF70E" w14:textId="77978305">
      <w:hyperlink w:history="1" r:id="rId14">
        <w:proofErr w:type="spellStart"/>
        <w:r w:rsidRPr="00810D11" w:rsidR="00810D11">
          <w:rPr>
            <w:color w:val="0000FF"/>
            <w:u w:val="single"/>
          </w:rPr>
          <w:t>Routemap</w:t>
        </w:r>
        <w:proofErr w:type="spellEnd"/>
        <w:r w:rsidRPr="00810D11" w:rsidR="00810D11">
          <w:rPr>
            <w:color w:val="0000FF"/>
            <w:u w:val="single"/>
          </w:rPr>
          <w:t xml:space="preserve"> to Carbon Negative &gt; York and North Yorkshire Combined Authority</w:t>
        </w:r>
      </w:hyperlink>
    </w:p>
    <w:p w:rsidRPr="002A3A66" w:rsidR="00810D11" w:rsidRDefault="002A3A66" w14:paraId="1D381B33" w14:textId="75E310EE">
      <w:hyperlink w:history="1" r:id="rId15">
        <w:r w:rsidRPr="00810D11" w:rsidR="00810D11">
          <w:rPr>
            <w:color w:val="0000FF"/>
            <w:u w:val="single"/>
          </w:rPr>
          <w:t>Investing in Nature for the North – A Strategic Plan for a Nature Positive Regional Economy</w:t>
        </w:r>
      </w:hyperlink>
    </w:p>
    <w:p w:rsidRPr="002A3A66" w:rsidR="00D9779D" w:rsidRDefault="002A3A66" w14:paraId="381CF493" w14:textId="4E86D21B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Buyers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Club :</w:t>
      </w:r>
      <w:proofErr w:type="gramEnd"/>
      <w:r>
        <w:rPr>
          <w:sz w:val="24"/>
          <w:szCs w:val="24"/>
        </w:rPr>
        <w:t xml:space="preserve"> - How to Guide – forthcoming resource (not yet published)</w:t>
      </w:r>
    </w:p>
    <w:sectPr w:rsidRPr="002A3A66" w:rsidR="00D9779D">
      <w:headerReference w:type="default" r:id="rId16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34EE9" w:rsidP="00334EE9" w:rsidRDefault="00334EE9" w14:paraId="1A644C0F" w14:textId="77777777">
      <w:pPr>
        <w:spacing w:after="0" w:line="240" w:lineRule="auto"/>
      </w:pPr>
      <w:r>
        <w:separator/>
      </w:r>
    </w:p>
  </w:endnote>
  <w:endnote w:type="continuationSeparator" w:id="0">
    <w:p w:rsidR="00334EE9" w:rsidP="00334EE9" w:rsidRDefault="00334EE9" w14:paraId="309834B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34EE9" w:rsidP="00334EE9" w:rsidRDefault="00334EE9" w14:paraId="50A1B16F" w14:textId="77777777">
      <w:pPr>
        <w:spacing w:after="0" w:line="240" w:lineRule="auto"/>
      </w:pPr>
      <w:r>
        <w:separator/>
      </w:r>
    </w:p>
  </w:footnote>
  <w:footnote w:type="continuationSeparator" w:id="0">
    <w:p w:rsidR="00334EE9" w:rsidP="00334EE9" w:rsidRDefault="00334EE9" w14:paraId="3838315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3F5F58" w:rsidRDefault="003F5F58" w14:paraId="4BC894FA" w14:textId="5D8DA186">
    <w:pPr>
      <w:pStyle w:val="Header"/>
    </w:pPr>
    <w:r w:rsidRPr="003F5F58">
      <w:rPr>
        <w:noProof/>
      </w:rPr>
      <w:drawing>
        <wp:inline distT="0" distB="0" distL="0" distR="0" wp14:anchorId="1D7A76D6" wp14:editId="0830809C">
          <wp:extent cx="5731510" cy="654685"/>
          <wp:effectExtent l="0" t="0" r="0" b="0"/>
          <wp:docPr id="86642765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642765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654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C1C86"/>
    <w:multiLevelType w:val="hybridMultilevel"/>
    <w:tmpl w:val="F730954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C8338CF"/>
    <w:multiLevelType w:val="hybridMultilevel"/>
    <w:tmpl w:val="18CED744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260D0002"/>
    <w:multiLevelType w:val="hybridMultilevel"/>
    <w:tmpl w:val="061254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8032EC"/>
    <w:multiLevelType w:val="hybridMultilevel"/>
    <w:tmpl w:val="7410F00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C5E2157"/>
    <w:multiLevelType w:val="hybridMultilevel"/>
    <w:tmpl w:val="4C4A0C1E"/>
    <w:lvl w:ilvl="0" w:tplc="0ED8BDA6">
      <w:start w:val="1"/>
      <w:numFmt w:val="decimal"/>
      <w:lvlText w:val="2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4139E"/>
    <w:multiLevelType w:val="hybridMultilevel"/>
    <w:tmpl w:val="A0149C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E9037B3"/>
    <w:multiLevelType w:val="hybridMultilevel"/>
    <w:tmpl w:val="5E462FA6"/>
    <w:lvl w:ilvl="0" w:tplc="00623128">
      <w:start w:val="1"/>
      <w:numFmt w:val="decimal"/>
      <w:lvlText w:val="1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537975"/>
    <w:multiLevelType w:val="hybridMultilevel"/>
    <w:tmpl w:val="B2A27982"/>
    <w:lvl w:ilvl="0" w:tplc="1FAA24E8">
      <w:start w:val="1"/>
      <w:numFmt w:val="decimal"/>
      <w:lvlText w:val="3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804EAA"/>
    <w:multiLevelType w:val="hybridMultilevel"/>
    <w:tmpl w:val="0A44109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1035A2D"/>
    <w:multiLevelType w:val="hybridMultilevel"/>
    <w:tmpl w:val="7F4276BA"/>
    <w:lvl w:ilvl="0" w:tplc="78BC3704">
      <w:start w:val="1"/>
      <w:numFmt w:val="decimal"/>
      <w:lvlText w:val="3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89709B"/>
    <w:multiLevelType w:val="hybridMultilevel"/>
    <w:tmpl w:val="6FD8463C"/>
    <w:lvl w:ilvl="0" w:tplc="1B804890">
      <w:start w:val="1"/>
      <w:numFmt w:val="decimal"/>
      <w:lvlText w:val="11.%1"/>
      <w:lvlJc w:val="center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135982006">
    <w:abstractNumId w:val="6"/>
  </w:num>
  <w:num w:numId="2" w16cid:durableId="2007974340">
    <w:abstractNumId w:val="4"/>
  </w:num>
  <w:num w:numId="3" w16cid:durableId="287857433">
    <w:abstractNumId w:val="2"/>
  </w:num>
  <w:num w:numId="4" w16cid:durableId="1622225398">
    <w:abstractNumId w:val="10"/>
  </w:num>
  <w:num w:numId="5" w16cid:durableId="2018656329">
    <w:abstractNumId w:val="9"/>
  </w:num>
  <w:num w:numId="6" w16cid:durableId="1481649668">
    <w:abstractNumId w:val="1"/>
  </w:num>
  <w:num w:numId="7" w16cid:durableId="1602101298">
    <w:abstractNumId w:val="7"/>
  </w:num>
  <w:num w:numId="8" w16cid:durableId="776751931">
    <w:abstractNumId w:val="8"/>
  </w:num>
  <w:num w:numId="9" w16cid:durableId="183712256">
    <w:abstractNumId w:val="5"/>
  </w:num>
  <w:num w:numId="10" w16cid:durableId="1991250412">
    <w:abstractNumId w:val="3"/>
  </w:num>
  <w:num w:numId="11" w16cid:durableId="1792361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79D"/>
    <w:rsid w:val="000469F7"/>
    <w:rsid w:val="000516BE"/>
    <w:rsid w:val="00053598"/>
    <w:rsid w:val="00065F86"/>
    <w:rsid w:val="00143726"/>
    <w:rsid w:val="00195A7C"/>
    <w:rsid w:val="001B71FF"/>
    <w:rsid w:val="0025101E"/>
    <w:rsid w:val="002A3A66"/>
    <w:rsid w:val="002B081C"/>
    <w:rsid w:val="002C3C3F"/>
    <w:rsid w:val="002D7381"/>
    <w:rsid w:val="00334EE9"/>
    <w:rsid w:val="003F5F58"/>
    <w:rsid w:val="0048094E"/>
    <w:rsid w:val="00496EAC"/>
    <w:rsid w:val="004E788A"/>
    <w:rsid w:val="004F6B13"/>
    <w:rsid w:val="00577914"/>
    <w:rsid w:val="005902CA"/>
    <w:rsid w:val="00632443"/>
    <w:rsid w:val="00671B44"/>
    <w:rsid w:val="0067702E"/>
    <w:rsid w:val="00687A4F"/>
    <w:rsid w:val="006D215A"/>
    <w:rsid w:val="00772351"/>
    <w:rsid w:val="00810D11"/>
    <w:rsid w:val="008974BE"/>
    <w:rsid w:val="008A7B50"/>
    <w:rsid w:val="009B0C80"/>
    <w:rsid w:val="00A4129B"/>
    <w:rsid w:val="00AC3FA4"/>
    <w:rsid w:val="00B02018"/>
    <w:rsid w:val="00B37E0F"/>
    <w:rsid w:val="00B5484D"/>
    <w:rsid w:val="00BA369E"/>
    <w:rsid w:val="00C04C1B"/>
    <w:rsid w:val="00C24854"/>
    <w:rsid w:val="00D9779D"/>
    <w:rsid w:val="00DE5995"/>
    <w:rsid w:val="00E52565"/>
    <w:rsid w:val="00EC6DDF"/>
    <w:rsid w:val="00EE7980"/>
    <w:rsid w:val="00F84011"/>
    <w:rsid w:val="00FE0071"/>
    <w:rsid w:val="00FE108C"/>
    <w:rsid w:val="087A9743"/>
    <w:rsid w:val="0A83E509"/>
    <w:rsid w:val="154855B4"/>
    <w:rsid w:val="161D1ECD"/>
    <w:rsid w:val="24458443"/>
    <w:rsid w:val="288C4F92"/>
    <w:rsid w:val="4759F2D8"/>
    <w:rsid w:val="4BC8644E"/>
    <w:rsid w:val="55B48C16"/>
    <w:rsid w:val="5FF70E0C"/>
    <w:rsid w:val="63A2333F"/>
    <w:rsid w:val="6464BB5B"/>
    <w:rsid w:val="68435C3D"/>
    <w:rsid w:val="68E084CB"/>
    <w:rsid w:val="74CB48FD"/>
    <w:rsid w:val="786EA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2D17A"/>
  <w15:chartTrackingRefBased/>
  <w15:docId w15:val="{07CCCFDD-36E0-40A7-A818-9B826F8B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9779D"/>
  </w:style>
  <w:style w:type="paragraph" w:styleId="Heading1">
    <w:name w:val="heading 1"/>
    <w:basedOn w:val="Normal"/>
    <w:next w:val="Normal"/>
    <w:link w:val="Heading1Char"/>
    <w:uiPriority w:val="9"/>
    <w:qFormat/>
    <w:rsid w:val="00D9779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79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7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7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7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7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7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7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9779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D9779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9779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D9779D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9779D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9779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9779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9779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977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79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9779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7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D977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79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D977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7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7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79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977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79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7235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Footer">
    <w:name w:val="footer"/>
    <w:basedOn w:val="Normal"/>
    <w:link w:val="FooterChar"/>
    <w:uiPriority w:val="99"/>
    <w:unhideWhenUsed/>
    <w:rsid w:val="00334EE9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34EE9"/>
  </w:style>
  <w:style w:type="paragraph" w:styleId="Header">
    <w:name w:val="header"/>
    <w:basedOn w:val="Normal"/>
    <w:link w:val="HeaderChar"/>
    <w:uiPriority w:val="99"/>
    <w:unhideWhenUsed/>
    <w:rsid w:val="003F5F58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F5F58"/>
  </w:style>
  <w:style w:type="character" w:styleId="Hyperlink">
    <w:name w:val="Hyperlink"/>
    <w:basedOn w:val="DefaultParagraphFont"/>
    <w:uiPriority w:val="99"/>
    <w:unhideWhenUsed/>
    <w:rsid w:val="00810D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D11"/>
    <w:rPr>
      <w:color w:val="605E5C"/>
      <w:shd w:val="clear" w:color="auto" w:fill="E1DFDD"/>
    </w:rPr>
  </w:style>
  <w:style w:type="table" w:styleId="LightList-Accent1">
    <w:name w:val="Light List Accent 1"/>
    <w:basedOn w:val="TableNormal"/>
    <w:uiPriority w:val="61"/>
    <w:rsid w:val="00810D11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Borders>
        <w:top w:val="single" w:color="156082" w:themeColor="accent1" w:sz="8" w:space="0"/>
        <w:left w:val="single" w:color="156082" w:themeColor="accent1" w:sz="8" w:space="0"/>
        <w:bottom w:val="single" w:color="156082" w:themeColor="accent1" w:sz="8" w:space="0"/>
        <w:right w:val="single" w:color="156082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56082" w:themeColor="accent1" w:sz="6" w:space="0"/>
          <w:left w:val="single" w:color="156082" w:themeColor="accent1" w:sz="8" w:space="0"/>
          <w:bottom w:val="single" w:color="156082" w:themeColor="accent1" w:sz="8" w:space="0"/>
          <w:right w:val="single" w:color="156082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156082" w:themeColor="accent1" w:sz="8" w:space="0"/>
          <w:left w:val="single" w:color="156082" w:themeColor="accent1" w:sz="8" w:space="0"/>
          <w:bottom w:val="single" w:color="156082" w:themeColor="accent1" w:sz="8" w:space="0"/>
          <w:right w:val="single" w:color="156082" w:themeColor="accent1" w:sz="8" w:space="0"/>
        </w:tcBorders>
      </w:tcPr>
    </w:tblStylePr>
    <w:tblStylePr w:type="band1Horz">
      <w:tblPr/>
      <w:tcPr>
        <w:tcBorders>
          <w:top w:val="single" w:color="156082" w:themeColor="accent1" w:sz="8" w:space="0"/>
          <w:left w:val="single" w:color="156082" w:themeColor="accent1" w:sz="8" w:space="0"/>
          <w:bottom w:val="single" w:color="156082" w:themeColor="accent1" w:sz="8" w:space="0"/>
          <w:right w:val="single" w:color="156082" w:themeColor="accent1" w:sz="8" w:space="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810D1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https://www.northyorks.gov.uk/environment-and-neighbourhoods/climate-change/climate-change-strategy-2023-2030" TargetMode="Externa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s://yorknorthyorks-ca.gov.uk/project/local-investment-in-natural-capital/" TargetMode="Externa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hive.greenfinanceinstitute.com/gfihive/toolkit/" TargetMode="External" Id="rId11" /><Relationship Type="http://schemas.openxmlformats.org/officeDocument/2006/relationships/styles" Target="styles.xml" Id="rId5" /><Relationship Type="http://schemas.openxmlformats.org/officeDocument/2006/relationships/hyperlink" Target="https://www.naturenorth.org.uk/wp-content/uploads/2025/02/Nature-North-Investing-In-Nature-For-The-North.pdf" TargetMode="External" Id="rId15" /><Relationship Type="http://schemas.openxmlformats.org/officeDocument/2006/relationships/image" Target="media/image1.pn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https://yorknorthyorks-ca.gov.uk/project/routemap-to-carbon-negative/" TargetMode="Externa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b7aeb2-affa-40a3-b901-815524b3f828">
      <Terms xmlns="http://schemas.microsoft.com/office/infopath/2007/PartnerControls"/>
    </lcf76f155ced4ddcb4097134ff3c332f>
    <TaxCatchAll xmlns="4bab7eea-15e8-41df-82bf-8ccbb6bc784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FFF89F5CA9AD4CBF059A5D4688B78F" ma:contentTypeVersion="18" ma:contentTypeDescription="Create a new document." ma:contentTypeScope="" ma:versionID="4bbf72e0231a3cda1d24a88b76e351ab">
  <xsd:schema xmlns:xsd="http://www.w3.org/2001/XMLSchema" xmlns:xs="http://www.w3.org/2001/XMLSchema" xmlns:p="http://schemas.microsoft.com/office/2006/metadata/properties" xmlns:ns2="4bab7eea-15e8-41df-82bf-8ccbb6bc7845" xmlns:ns3="d5b7aeb2-affa-40a3-b901-815524b3f828" targetNamespace="http://schemas.microsoft.com/office/2006/metadata/properties" ma:root="true" ma:fieldsID="5d02924892c9848a85364564b27d210a" ns2:_="" ns3:_="">
    <xsd:import namespace="4bab7eea-15e8-41df-82bf-8ccbb6bc7845"/>
    <xsd:import namespace="d5b7aeb2-affa-40a3-b901-815524b3f82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ab7eea-15e8-41df-82bf-8ccbb6bc784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5ee38b4-58db-41c9-99cc-46f4a6b3fe73}" ma:internalName="TaxCatchAll" ma:showField="CatchAllData" ma:web="4bab7eea-15e8-41df-82bf-8ccbb6bc78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b7aeb2-affa-40a3-b901-815524b3f8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720D23-710E-4F10-9DB6-E27B43FE94E7}">
  <ds:schemaRefs>
    <ds:schemaRef ds:uri="http://schemas.microsoft.com/office/2006/metadata/properties"/>
    <ds:schemaRef ds:uri="http://schemas.microsoft.com/office/infopath/2007/PartnerControls"/>
    <ds:schemaRef ds:uri="d5b7aeb2-affa-40a3-b901-815524b3f828"/>
    <ds:schemaRef ds:uri="4bab7eea-15e8-41df-82bf-8ccbb6bc7845"/>
  </ds:schemaRefs>
</ds:datastoreItem>
</file>

<file path=customXml/itemProps2.xml><?xml version="1.0" encoding="utf-8"?>
<ds:datastoreItem xmlns:ds="http://schemas.openxmlformats.org/officeDocument/2006/customXml" ds:itemID="{040C372C-542E-4268-A3A1-6EC34CF80716}"/>
</file>

<file path=customXml/itemProps3.xml><?xml version="1.0" encoding="utf-8"?>
<ds:datastoreItem xmlns:ds="http://schemas.openxmlformats.org/officeDocument/2006/customXml" ds:itemID="{1FD5BC72-0D7E-4364-ACD0-8C2FDB05EA5D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 Bowman</dc:creator>
  <keywords/>
  <dc:description/>
  <lastModifiedBy>Jo Bowman</lastModifiedBy>
  <revision>5</revision>
  <dcterms:created xsi:type="dcterms:W3CDTF">2025-11-19T14:27:00.0000000Z</dcterms:created>
  <dcterms:modified xsi:type="dcterms:W3CDTF">2025-12-10T14:38:49.7717608Z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2025-11-13T15:39:07Z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bd3da874-9198-499c-bd99-169db39a2382</vt:lpwstr>
  </property>
  <property fmtid="{D5CDD505-2E9C-101B-9397-08002B2CF9AE}" pid="8" name="MSIP_Label_3ecdfc32-7be5-4b17-9f97-00453388bdd7_ContentBits">
    <vt:lpwstr>2</vt:lpwstr>
  </property>
  <property fmtid="{D5CDD505-2E9C-101B-9397-08002B2CF9AE}" pid="9" name="ContentTypeId">
    <vt:lpwstr>0x01010018FFF89F5CA9AD4CBF059A5D4688B78F</vt:lpwstr>
  </property>
  <property fmtid="{D5CDD505-2E9C-101B-9397-08002B2CF9AE}" pid="10" name="MediaServiceImageTags">
    <vt:lpwstr/>
  </property>
</Properties>
</file>